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CB" w:rsidRDefault="00B910CB" w:rsidP="008654F3">
      <w:pPr>
        <w:jc w:val="both"/>
        <w:rPr>
          <w:rFonts w:eastAsia="Times New Roman"/>
          <w:sz w:val="22"/>
          <w:szCs w:val="22"/>
          <w:u w:val="single"/>
          <w:vertAlign w:val="baseline"/>
          <w:lang w:eastAsia="tr-TR"/>
        </w:rPr>
      </w:pPr>
      <w:r w:rsidRPr="00813143">
        <w:rPr>
          <w:rFonts w:eastAsia="Times New Roman"/>
          <w:sz w:val="22"/>
          <w:szCs w:val="22"/>
          <w:u w:val="single"/>
          <w:vertAlign w:val="baseline"/>
          <w:lang w:eastAsia="tr-TR"/>
        </w:rPr>
        <w:t>Enerji Piyasası Düzenleme Kurumundan:</w:t>
      </w:r>
    </w:p>
    <w:p w:rsidR="00C63A2F" w:rsidRDefault="00C63A2F" w:rsidP="008654F3">
      <w:pPr>
        <w:jc w:val="both"/>
        <w:rPr>
          <w:rFonts w:eastAsia="Times New Roman"/>
          <w:sz w:val="22"/>
          <w:szCs w:val="22"/>
          <w:u w:val="single"/>
          <w:vertAlign w:val="baseline"/>
          <w:lang w:eastAsia="tr-TR"/>
        </w:rPr>
      </w:pPr>
    </w:p>
    <w:p w:rsidR="00C63A2F" w:rsidRDefault="00C63A2F" w:rsidP="008654F3">
      <w:pPr>
        <w:jc w:val="both"/>
        <w:rPr>
          <w:rFonts w:eastAsia="Times New Roman"/>
          <w:sz w:val="22"/>
          <w:szCs w:val="22"/>
          <w:u w:val="single"/>
          <w:vertAlign w:val="baseline"/>
          <w:lang w:eastAsia="tr-TR"/>
        </w:rPr>
      </w:pPr>
    </w:p>
    <w:p w:rsidR="00C63A2F" w:rsidRPr="00813143" w:rsidRDefault="00C63A2F" w:rsidP="008654F3">
      <w:pPr>
        <w:jc w:val="both"/>
        <w:rPr>
          <w:rFonts w:eastAsia="Times New Roman"/>
          <w:b/>
          <w:sz w:val="22"/>
          <w:szCs w:val="22"/>
          <w:vertAlign w:val="baseline"/>
          <w:lang w:eastAsia="tr-TR"/>
        </w:rPr>
      </w:pPr>
    </w:p>
    <w:p w:rsidR="006F5B76" w:rsidRPr="00813143" w:rsidRDefault="006F5B76" w:rsidP="006F5B76">
      <w:pPr>
        <w:rPr>
          <w:rFonts w:eastAsia="Times New Roman"/>
          <w:b/>
          <w:sz w:val="22"/>
          <w:szCs w:val="22"/>
          <w:vertAlign w:val="baseline"/>
          <w:lang w:eastAsia="tr-TR"/>
        </w:rPr>
      </w:pPr>
    </w:p>
    <w:p w:rsidR="006F5B76" w:rsidRPr="006F5B76" w:rsidRDefault="006F5B76" w:rsidP="006F5B76">
      <w:pPr>
        <w:tabs>
          <w:tab w:val="left" w:pos="6345"/>
        </w:tabs>
        <w:spacing w:after="200" w:line="276" w:lineRule="auto"/>
        <w:rPr>
          <w:rFonts w:eastAsiaTheme="minorHAnsi"/>
          <w:sz w:val="22"/>
          <w:szCs w:val="22"/>
          <w:vertAlign w:val="baseline"/>
          <w:lang w:eastAsia="en-US"/>
        </w:rPr>
      </w:pPr>
      <w:r w:rsidRPr="006F5B76">
        <w:rPr>
          <w:rFonts w:eastAsiaTheme="minorHAnsi"/>
          <w:b/>
          <w:sz w:val="22"/>
          <w:szCs w:val="22"/>
          <w:vertAlign w:val="baseline"/>
          <w:lang w:eastAsia="en-US"/>
        </w:rPr>
        <w:t>Karar No:</w:t>
      </w:r>
      <w:r w:rsidRPr="00813143">
        <w:rPr>
          <w:rFonts w:eastAsiaTheme="minorHAnsi"/>
          <w:sz w:val="22"/>
          <w:szCs w:val="22"/>
          <w:vertAlign w:val="baseline"/>
          <w:lang w:eastAsia="en-US"/>
        </w:rPr>
        <w:t xml:space="preserve"> 5885-7</w:t>
      </w:r>
      <w:r w:rsidRPr="006F5B76">
        <w:rPr>
          <w:rFonts w:eastAsiaTheme="minorHAnsi"/>
          <w:sz w:val="22"/>
          <w:szCs w:val="22"/>
          <w:vertAlign w:val="baseline"/>
          <w:lang w:eastAsia="en-US"/>
        </w:rPr>
        <w:tab/>
      </w:r>
      <w:r w:rsidR="00C63A2F">
        <w:rPr>
          <w:rFonts w:eastAsiaTheme="minorHAnsi"/>
          <w:sz w:val="22"/>
          <w:szCs w:val="22"/>
          <w:vertAlign w:val="baseline"/>
          <w:lang w:eastAsia="en-US"/>
        </w:rPr>
        <w:tab/>
      </w:r>
      <w:r w:rsidR="00C63A2F">
        <w:rPr>
          <w:rFonts w:eastAsiaTheme="minorHAnsi"/>
          <w:sz w:val="22"/>
          <w:szCs w:val="22"/>
          <w:vertAlign w:val="baseline"/>
          <w:lang w:eastAsia="en-US"/>
        </w:rPr>
        <w:tab/>
      </w:r>
      <w:r w:rsidRPr="006F5B76">
        <w:rPr>
          <w:rFonts w:eastAsiaTheme="minorHAnsi"/>
          <w:b/>
          <w:sz w:val="22"/>
          <w:szCs w:val="22"/>
          <w:vertAlign w:val="baseline"/>
          <w:lang w:eastAsia="en-US"/>
        </w:rPr>
        <w:t>Karar Tarihi:</w:t>
      </w:r>
      <w:r w:rsidRPr="006F5B76">
        <w:rPr>
          <w:rFonts w:eastAsiaTheme="minorHAnsi"/>
          <w:sz w:val="22"/>
          <w:szCs w:val="22"/>
          <w:vertAlign w:val="baseline"/>
          <w:lang w:eastAsia="en-US"/>
        </w:rPr>
        <w:t xml:space="preserve"> 24/11/2015</w:t>
      </w:r>
    </w:p>
    <w:p w:rsidR="006F5B76" w:rsidRPr="00813143" w:rsidRDefault="006F5B76" w:rsidP="006F5B76">
      <w:pPr>
        <w:rPr>
          <w:rFonts w:eastAsia="Times New Roman"/>
          <w:b/>
          <w:sz w:val="22"/>
          <w:szCs w:val="22"/>
          <w:vertAlign w:val="baseline"/>
          <w:lang w:eastAsia="tr-TR"/>
        </w:rPr>
      </w:pPr>
    </w:p>
    <w:p w:rsidR="006F5B76" w:rsidRPr="00813143" w:rsidRDefault="006F5B76" w:rsidP="006F5B76">
      <w:pPr>
        <w:pStyle w:val="ListeParagraf"/>
        <w:autoSpaceDE w:val="0"/>
        <w:autoSpaceDN w:val="0"/>
        <w:adjustRightInd w:val="0"/>
        <w:ind w:left="0"/>
        <w:jc w:val="both"/>
        <w:rPr>
          <w:sz w:val="22"/>
          <w:szCs w:val="22"/>
        </w:rPr>
      </w:pPr>
      <w:r w:rsidRPr="00813143">
        <w:rPr>
          <w:b/>
          <w:sz w:val="22"/>
          <w:szCs w:val="22"/>
        </w:rPr>
        <w:t xml:space="preserve">     </w:t>
      </w:r>
      <w:r w:rsidRPr="00813143">
        <w:rPr>
          <w:rFonts w:eastAsia="Calibri"/>
          <w:sz w:val="22"/>
          <w:szCs w:val="22"/>
        </w:rPr>
        <w:t>Enerji Piyasası Düzenleme Kurulunun 24/11/2015 tarihli toplantısında;</w:t>
      </w:r>
      <w:r w:rsidRPr="00813143">
        <w:rPr>
          <w:sz w:val="22"/>
          <w:szCs w:val="22"/>
        </w:rPr>
        <w:t xml:space="preserve"> ekteki Elektrik Piyasası Dağıtım Sistemi Yatırımlarına İlişkin Usul ve Esaslar’ın kabul edilerek yayımlanmasına, karar verilmiştir.</w:t>
      </w:r>
    </w:p>
    <w:p w:rsidR="006F5B76" w:rsidRDefault="00813143" w:rsidP="00813143">
      <w:pPr>
        <w:tabs>
          <w:tab w:val="left" w:pos="375"/>
        </w:tabs>
        <w:rPr>
          <w:rFonts w:eastAsia="Times New Roman"/>
          <w:b/>
          <w:sz w:val="22"/>
          <w:szCs w:val="22"/>
          <w:vertAlign w:val="baseline"/>
          <w:lang w:eastAsia="tr-TR"/>
        </w:rPr>
      </w:pPr>
      <w:r w:rsidRPr="00813143">
        <w:rPr>
          <w:rFonts w:eastAsia="Times New Roman"/>
          <w:b/>
          <w:sz w:val="22"/>
          <w:szCs w:val="22"/>
          <w:vertAlign w:val="baseline"/>
          <w:lang w:eastAsia="tr-TR"/>
        </w:rPr>
        <w:tab/>
      </w:r>
    </w:p>
    <w:p w:rsidR="00813143" w:rsidRDefault="00813143" w:rsidP="00813143">
      <w:pPr>
        <w:tabs>
          <w:tab w:val="left" w:pos="375"/>
        </w:tabs>
        <w:rPr>
          <w:rFonts w:eastAsia="Times New Roman"/>
          <w:b/>
          <w:sz w:val="22"/>
          <w:szCs w:val="22"/>
          <w:vertAlign w:val="baseline"/>
          <w:lang w:eastAsia="tr-TR"/>
        </w:rPr>
      </w:pPr>
    </w:p>
    <w:p w:rsidR="00813143" w:rsidRPr="00813143" w:rsidRDefault="00813143" w:rsidP="00813143">
      <w:pPr>
        <w:tabs>
          <w:tab w:val="left" w:pos="375"/>
        </w:tabs>
        <w:rPr>
          <w:rFonts w:eastAsia="Times New Roman"/>
          <w:b/>
          <w:sz w:val="22"/>
          <w:szCs w:val="22"/>
          <w:vertAlign w:val="baseline"/>
          <w:lang w:eastAsia="tr-TR"/>
        </w:rPr>
      </w:pPr>
    </w:p>
    <w:p w:rsidR="00813143" w:rsidRPr="00813143" w:rsidRDefault="00813143" w:rsidP="00813143">
      <w:pPr>
        <w:jc w:val="both"/>
        <w:rPr>
          <w:sz w:val="22"/>
          <w:szCs w:val="22"/>
          <w:vertAlign w:val="baseline"/>
        </w:rPr>
      </w:pPr>
      <w:r w:rsidRPr="00813143">
        <w:rPr>
          <w:b/>
          <w:sz w:val="22"/>
          <w:szCs w:val="22"/>
          <w:vertAlign w:val="baseline"/>
        </w:rPr>
        <w:t xml:space="preserve">EK-1: </w:t>
      </w:r>
      <w:r w:rsidRPr="00813143">
        <w:rPr>
          <w:sz w:val="22"/>
          <w:szCs w:val="22"/>
        </w:rPr>
        <w:t xml:space="preserve"> </w:t>
      </w:r>
      <w:r w:rsidRPr="00813143">
        <w:rPr>
          <w:sz w:val="22"/>
          <w:szCs w:val="22"/>
          <w:vertAlign w:val="baseline"/>
        </w:rPr>
        <w:t>Elektrik Piyasası Dağıtım Sistemi Yatırımlarına İlişkin Usul ve Esaslar.</w:t>
      </w:r>
    </w:p>
    <w:p w:rsidR="00813143" w:rsidRDefault="00813143" w:rsidP="00813143">
      <w:pPr>
        <w:tabs>
          <w:tab w:val="left" w:pos="375"/>
        </w:tabs>
        <w:rPr>
          <w:rFonts w:eastAsia="Times New Roman"/>
          <w:b/>
          <w:sz w:val="24"/>
          <w:szCs w:val="24"/>
          <w:vertAlign w:val="baseline"/>
          <w:lang w:eastAsia="tr-TR"/>
        </w:rPr>
      </w:pPr>
    </w:p>
    <w:p w:rsidR="00813143" w:rsidRDefault="00813143" w:rsidP="00A502B5">
      <w:pPr>
        <w:jc w:val="center"/>
        <w:rPr>
          <w:rFonts w:eastAsia="Times New Roman"/>
          <w:b/>
          <w:sz w:val="24"/>
          <w:szCs w:val="24"/>
          <w:vertAlign w:val="baseline"/>
          <w:lang w:eastAsia="tr-TR"/>
        </w:rPr>
      </w:pPr>
    </w:p>
    <w:p w:rsidR="00275665" w:rsidRPr="00E346B5" w:rsidRDefault="00A502B5" w:rsidP="00A502B5">
      <w:pPr>
        <w:jc w:val="center"/>
        <w:rPr>
          <w:rFonts w:eastAsia="Times New Roman"/>
          <w:b/>
          <w:sz w:val="24"/>
          <w:szCs w:val="24"/>
          <w:vertAlign w:val="baseline"/>
          <w:lang w:eastAsia="tr-TR"/>
        </w:rPr>
      </w:pPr>
      <w:r w:rsidRPr="00E346B5">
        <w:rPr>
          <w:rFonts w:eastAsia="Times New Roman"/>
          <w:b/>
          <w:sz w:val="24"/>
          <w:szCs w:val="24"/>
          <w:vertAlign w:val="baseline"/>
          <w:lang w:eastAsia="tr-TR"/>
        </w:rPr>
        <w:t xml:space="preserve">ELEKTRİK PİYASASI DAĞITIM SİSTEMİ </w:t>
      </w:r>
      <w:r w:rsidR="00EE11A3" w:rsidRPr="00E346B5">
        <w:rPr>
          <w:rFonts w:eastAsia="Times New Roman"/>
          <w:b/>
          <w:sz w:val="24"/>
          <w:szCs w:val="24"/>
          <w:vertAlign w:val="baseline"/>
          <w:lang w:eastAsia="tr-TR"/>
        </w:rPr>
        <w:t>YATIRIMLARINA</w:t>
      </w:r>
      <w:r w:rsidRPr="00E346B5">
        <w:rPr>
          <w:rFonts w:eastAsia="Times New Roman"/>
          <w:b/>
          <w:sz w:val="24"/>
          <w:szCs w:val="24"/>
          <w:vertAlign w:val="baseline"/>
          <w:lang w:eastAsia="tr-TR"/>
        </w:rPr>
        <w:t xml:space="preserve"> İLİŞKİN </w:t>
      </w:r>
      <w:r w:rsidR="00327D9E" w:rsidRPr="00E346B5">
        <w:rPr>
          <w:rFonts w:eastAsia="Times New Roman"/>
          <w:b/>
          <w:sz w:val="24"/>
          <w:szCs w:val="24"/>
          <w:vertAlign w:val="baseline"/>
          <w:lang w:eastAsia="tr-TR"/>
        </w:rPr>
        <w:t>USUL VE ESASLAR</w:t>
      </w:r>
    </w:p>
    <w:p w:rsidR="00A502B5" w:rsidRPr="00E346B5" w:rsidRDefault="00A502B5" w:rsidP="00E67773">
      <w:pPr>
        <w:jc w:val="both"/>
        <w:rPr>
          <w:rFonts w:eastAsia="Times New Roman"/>
          <w:b/>
          <w:sz w:val="24"/>
          <w:szCs w:val="24"/>
          <w:vertAlign w:val="baseline"/>
          <w:lang w:eastAsia="tr-TR"/>
        </w:rPr>
      </w:pPr>
    </w:p>
    <w:p w:rsidR="00EE11A3" w:rsidRPr="00E346B5" w:rsidRDefault="00EE11A3" w:rsidP="00E67773">
      <w:pPr>
        <w:jc w:val="both"/>
        <w:rPr>
          <w:rFonts w:eastAsia="Times New Roman"/>
          <w:b/>
          <w:sz w:val="24"/>
          <w:szCs w:val="24"/>
          <w:vertAlign w:val="baseline"/>
          <w:lang w:eastAsia="tr-TR"/>
        </w:rPr>
      </w:pPr>
    </w:p>
    <w:p w:rsidR="00EE11A3" w:rsidRPr="00E346B5" w:rsidRDefault="00EE11A3" w:rsidP="00E67773">
      <w:pPr>
        <w:jc w:val="both"/>
        <w:rPr>
          <w:rFonts w:eastAsia="Times New Roman"/>
          <w:b/>
          <w:sz w:val="24"/>
          <w:szCs w:val="24"/>
          <w:vertAlign w:val="baseline"/>
          <w:lang w:eastAsia="tr-TR"/>
        </w:rPr>
      </w:pPr>
    </w:p>
    <w:p w:rsidR="001B3DE9" w:rsidRPr="00E346B5" w:rsidRDefault="001B3DE9" w:rsidP="001B3DE9">
      <w:pPr>
        <w:pStyle w:val="Metin"/>
        <w:spacing w:after="0"/>
        <w:rPr>
          <w:b/>
        </w:rPr>
      </w:pPr>
      <w:r w:rsidRPr="00E346B5">
        <w:rPr>
          <w:b/>
        </w:rPr>
        <w:t>BİRİNCİ KISIM</w:t>
      </w:r>
    </w:p>
    <w:p w:rsidR="001B3DE9" w:rsidRPr="00E346B5" w:rsidRDefault="001B3DE9" w:rsidP="00E67773">
      <w:pPr>
        <w:jc w:val="both"/>
        <w:rPr>
          <w:rFonts w:eastAsia="Times New Roman"/>
          <w:b/>
          <w:sz w:val="24"/>
          <w:szCs w:val="24"/>
          <w:vertAlign w:val="baseline"/>
          <w:lang w:eastAsia="tr-TR"/>
        </w:rPr>
      </w:pPr>
      <w:r w:rsidRPr="00E346B5">
        <w:rPr>
          <w:rFonts w:eastAsia="Times New Roman"/>
          <w:b/>
          <w:sz w:val="24"/>
          <w:szCs w:val="24"/>
          <w:vertAlign w:val="baseline"/>
          <w:lang w:eastAsia="tr-TR"/>
        </w:rPr>
        <w:t xml:space="preserve">Amaç, </w:t>
      </w:r>
      <w:r w:rsidR="003E248B" w:rsidRPr="00E346B5">
        <w:rPr>
          <w:rFonts w:eastAsia="Times New Roman"/>
          <w:b/>
          <w:sz w:val="24"/>
          <w:szCs w:val="24"/>
          <w:vertAlign w:val="baseline"/>
          <w:lang w:eastAsia="tr-TR"/>
        </w:rPr>
        <w:t xml:space="preserve">Kapsam, </w:t>
      </w:r>
      <w:r w:rsidRPr="00E346B5">
        <w:rPr>
          <w:rFonts w:eastAsia="Times New Roman"/>
          <w:b/>
          <w:sz w:val="24"/>
          <w:szCs w:val="24"/>
          <w:vertAlign w:val="baseline"/>
          <w:lang w:eastAsia="tr-TR"/>
        </w:rPr>
        <w:t>Dayanak, Tanım</w:t>
      </w:r>
      <w:r w:rsidR="00327D9E" w:rsidRPr="00E346B5">
        <w:rPr>
          <w:rFonts w:eastAsia="Times New Roman"/>
          <w:b/>
          <w:sz w:val="24"/>
          <w:szCs w:val="24"/>
          <w:vertAlign w:val="baseline"/>
          <w:lang w:eastAsia="tr-TR"/>
        </w:rPr>
        <w:t>lar</w:t>
      </w:r>
    </w:p>
    <w:p w:rsidR="00084AF2" w:rsidRPr="00E346B5" w:rsidRDefault="00642E8B" w:rsidP="00E67773">
      <w:pPr>
        <w:jc w:val="both"/>
        <w:rPr>
          <w:rFonts w:eastAsia="Times New Roman"/>
          <w:b/>
          <w:sz w:val="24"/>
          <w:szCs w:val="24"/>
          <w:vertAlign w:val="baseline"/>
          <w:lang w:eastAsia="tr-TR"/>
        </w:rPr>
      </w:pPr>
      <w:r w:rsidRPr="00E346B5">
        <w:rPr>
          <w:rFonts w:eastAsia="Times New Roman"/>
          <w:b/>
          <w:sz w:val="24"/>
          <w:szCs w:val="24"/>
          <w:vertAlign w:val="baseline"/>
          <w:lang w:eastAsia="tr-TR"/>
        </w:rPr>
        <w:t>Amaç</w:t>
      </w:r>
    </w:p>
    <w:p w:rsidR="00A02FEC" w:rsidRPr="00E346B5" w:rsidRDefault="003E248B" w:rsidP="00E67773">
      <w:pPr>
        <w:spacing w:line="240" w:lineRule="exact"/>
        <w:jc w:val="both"/>
        <w:rPr>
          <w:rFonts w:eastAsia="Times New Roman"/>
          <w:sz w:val="24"/>
          <w:szCs w:val="24"/>
          <w:vertAlign w:val="baseline"/>
          <w:lang w:eastAsia="tr-TR"/>
        </w:rPr>
      </w:pPr>
      <w:r w:rsidRPr="00E346B5">
        <w:rPr>
          <w:rFonts w:eastAsia="Times New Roman"/>
          <w:b/>
          <w:sz w:val="24"/>
          <w:szCs w:val="24"/>
          <w:vertAlign w:val="baseline"/>
          <w:lang w:eastAsia="tr-TR"/>
        </w:rPr>
        <w:t>Madde</w:t>
      </w:r>
      <w:r w:rsidR="00642E8B" w:rsidRPr="00E346B5">
        <w:rPr>
          <w:rFonts w:eastAsia="Times New Roman"/>
          <w:b/>
          <w:sz w:val="24"/>
          <w:szCs w:val="24"/>
          <w:vertAlign w:val="baseline"/>
          <w:lang w:eastAsia="tr-TR"/>
        </w:rPr>
        <w:t xml:space="preserve"> </w:t>
      </w:r>
      <w:r w:rsidR="00C30C73" w:rsidRPr="00E346B5">
        <w:rPr>
          <w:rFonts w:eastAsia="Times New Roman"/>
          <w:b/>
          <w:sz w:val="24"/>
          <w:szCs w:val="24"/>
          <w:vertAlign w:val="baseline"/>
          <w:lang w:eastAsia="tr-TR"/>
        </w:rPr>
        <w:t>1-</w:t>
      </w:r>
      <w:r w:rsidR="00C30C73" w:rsidRPr="00E346B5">
        <w:rPr>
          <w:rFonts w:eastAsia="Times New Roman"/>
          <w:sz w:val="24"/>
          <w:szCs w:val="24"/>
          <w:vertAlign w:val="baseline"/>
          <w:lang w:eastAsia="tr-TR"/>
        </w:rPr>
        <w:t xml:space="preserve"> </w:t>
      </w:r>
      <w:r w:rsidR="00287BCA" w:rsidRPr="00E346B5">
        <w:rPr>
          <w:rFonts w:eastAsia="Times New Roman"/>
          <w:sz w:val="24"/>
          <w:szCs w:val="24"/>
          <w:vertAlign w:val="baseline"/>
          <w:lang w:eastAsia="tr-TR"/>
        </w:rPr>
        <w:t xml:space="preserve">Bu </w:t>
      </w:r>
      <w:r w:rsidR="00327D9E" w:rsidRPr="00E346B5">
        <w:rPr>
          <w:rFonts w:eastAsia="Times New Roman"/>
          <w:sz w:val="24"/>
          <w:szCs w:val="24"/>
          <w:vertAlign w:val="baseline"/>
          <w:lang w:eastAsia="tr-TR"/>
        </w:rPr>
        <w:t>Usul ve Esaslar</w:t>
      </w:r>
      <w:r w:rsidR="00B25772" w:rsidRPr="00E346B5">
        <w:rPr>
          <w:rFonts w:eastAsia="Times New Roman"/>
          <w:sz w:val="24"/>
          <w:szCs w:val="24"/>
          <w:vertAlign w:val="baseline"/>
          <w:lang w:eastAsia="tr-TR"/>
        </w:rPr>
        <w:t xml:space="preserve">ın </w:t>
      </w:r>
      <w:r w:rsidR="00287BCA" w:rsidRPr="00E346B5">
        <w:rPr>
          <w:rFonts w:eastAsia="Times New Roman"/>
          <w:sz w:val="24"/>
          <w:szCs w:val="24"/>
          <w:vertAlign w:val="baseline"/>
          <w:lang w:eastAsia="tr-TR"/>
        </w:rPr>
        <w:t>amacı</w:t>
      </w:r>
      <w:r w:rsidR="00327D9E" w:rsidRPr="00E346B5">
        <w:rPr>
          <w:rFonts w:eastAsia="Times New Roman"/>
          <w:sz w:val="24"/>
          <w:szCs w:val="24"/>
          <w:vertAlign w:val="baseline"/>
          <w:lang w:eastAsia="tr-TR"/>
        </w:rPr>
        <w:t>,</w:t>
      </w:r>
      <w:r w:rsidR="00287BCA" w:rsidRPr="00E346B5">
        <w:rPr>
          <w:rFonts w:eastAsia="Times New Roman"/>
          <w:sz w:val="24"/>
          <w:szCs w:val="24"/>
          <w:vertAlign w:val="baseline"/>
          <w:lang w:eastAsia="tr-TR"/>
        </w:rPr>
        <w:t xml:space="preserve"> dağıtım lisansı sahibi tüzel kişilerin dağıtım sistemi gelir düzenlemesi kapsamında </w:t>
      </w:r>
      <w:r w:rsidR="00EE11A3" w:rsidRPr="00E346B5">
        <w:rPr>
          <w:rFonts w:eastAsia="Times New Roman"/>
          <w:sz w:val="24"/>
          <w:szCs w:val="24"/>
          <w:vertAlign w:val="baseline"/>
          <w:lang w:eastAsia="tr-TR"/>
        </w:rPr>
        <w:t>ön kabulden geçmiş</w:t>
      </w:r>
      <w:r w:rsidR="00287BCA" w:rsidRPr="00E346B5">
        <w:rPr>
          <w:rFonts w:eastAsia="Times New Roman"/>
          <w:sz w:val="24"/>
          <w:szCs w:val="24"/>
          <w:vertAlign w:val="baseline"/>
          <w:lang w:eastAsia="tr-TR"/>
        </w:rPr>
        <w:t xml:space="preserve"> yatı</w:t>
      </w:r>
      <w:r w:rsidR="001804CD" w:rsidRPr="00E346B5">
        <w:rPr>
          <w:rFonts w:eastAsia="Times New Roman"/>
          <w:sz w:val="24"/>
          <w:szCs w:val="24"/>
          <w:vertAlign w:val="baseline"/>
          <w:lang w:eastAsia="tr-TR"/>
        </w:rPr>
        <w:t>rım harcamalarının belirlenmesi</w:t>
      </w:r>
      <w:r w:rsidR="00287BCA" w:rsidRPr="00E346B5">
        <w:rPr>
          <w:rFonts w:eastAsia="Times New Roman"/>
          <w:sz w:val="24"/>
          <w:szCs w:val="24"/>
          <w:vertAlign w:val="baseline"/>
          <w:lang w:eastAsia="tr-TR"/>
        </w:rPr>
        <w:t xml:space="preserve"> ve gerçekleşme</w:t>
      </w:r>
      <w:r w:rsidR="001804CD" w:rsidRPr="00E346B5">
        <w:rPr>
          <w:rFonts w:eastAsia="Times New Roman"/>
          <w:sz w:val="24"/>
          <w:szCs w:val="24"/>
          <w:vertAlign w:val="baseline"/>
          <w:lang w:eastAsia="tr-TR"/>
        </w:rPr>
        <w:t>sinin izlenmesine</w:t>
      </w:r>
      <w:r w:rsidR="00287BCA" w:rsidRPr="00E346B5">
        <w:rPr>
          <w:rFonts w:eastAsia="Times New Roman"/>
          <w:sz w:val="24"/>
          <w:szCs w:val="24"/>
          <w:vertAlign w:val="baseline"/>
          <w:lang w:eastAsia="tr-TR"/>
        </w:rPr>
        <w:t xml:space="preserve"> ilişkin </w:t>
      </w:r>
      <w:r w:rsidR="00AC7B3D" w:rsidRPr="00E346B5">
        <w:rPr>
          <w:rFonts w:eastAsia="Times New Roman"/>
          <w:sz w:val="24"/>
          <w:szCs w:val="24"/>
          <w:vertAlign w:val="baseline"/>
          <w:lang w:eastAsia="tr-TR"/>
        </w:rPr>
        <w:t>kurallar</w:t>
      </w:r>
      <w:r w:rsidR="00A502B5" w:rsidRPr="00E346B5">
        <w:rPr>
          <w:rFonts w:eastAsia="Times New Roman"/>
          <w:sz w:val="24"/>
          <w:szCs w:val="24"/>
          <w:vertAlign w:val="baseline"/>
          <w:lang w:eastAsia="tr-TR"/>
        </w:rPr>
        <w:t>ı</w:t>
      </w:r>
      <w:r w:rsidR="00287BCA" w:rsidRPr="00E346B5">
        <w:rPr>
          <w:rFonts w:eastAsia="Times New Roman"/>
          <w:sz w:val="24"/>
          <w:szCs w:val="24"/>
          <w:vertAlign w:val="baseline"/>
          <w:lang w:eastAsia="tr-TR"/>
        </w:rPr>
        <w:t xml:space="preserve"> düzenlemektir.</w:t>
      </w:r>
    </w:p>
    <w:p w:rsidR="00287BCA" w:rsidRPr="00E346B5" w:rsidRDefault="00287BCA" w:rsidP="00E67773">
      <w:pPr>
        <w:spacing w:line="240" w:lineRule="exact"/>
        <w:jc w:val="both"/>
        <w:rPr>
          <w:rFonts w:eastAsia="Times New Roman"/>
          <w:sz w:val="24"/>
          <w:szCs w:val="24"/>
          <w:vertAlign w:val="baseline"/>
          <w:lang w:eastAsia="tr-TR"/>
        </w:rPr>
      </w:pPr>
    </w:p>
    <w:p w:rsidR="007773C4" w:rsidRPr="00E346B5" w:rsidRDefault="007773C4" w:rsidP="00E67773">
      <w:pPr>
        <w:spacing w:line="240" w:lineRule="exact"/>
        <w:jc w:val="both"/>
        <w:rPr>
          <w:rFonts w:eastAsia="Times New Roman"/>
          <w:b/>
          <w:sz w:val="24"/>
          <w:szCs w:val="24"/>
          <w:vertAlign w:val="baseline"/>
          <w:lang w:eastAsia="tr-TR"/>
        </w:rPr>
      </w:pPr>
      <w:r w:rsidRPr="00E346B5">
        <w:rPr>
          <w:rFonts w:eastAsia="Times New Roman"/>
          <w:b/>
          <w:sz w:val="24"/>
          <w:szCs w:val="24"/>
          <w:vertAlign w:val="baseline"/>
          <w:lang w:eastAsia="tr-TR"/>
        </w:rPr>
        <w:t>Kapsam</w:t>
      </w:r>
    </w:p>
    <w:p w:rsidR="007773C4" w:rsidRPr="00E346B5" w:rsidRDefault="003E248B" w:rsidP="00E67773">
      <w:pPr>
        <w:spacing w:line="240" w:lineRule="exact"/>
        <w:jc w:val="both"/>
        <w:rPr>
          <w:rFonts w:eastAsia="Times New Roman"/>
          <w:sz w:val="24"/>
          <w:szCs w:val="24"/>
          <w:vertAlign w:val="baseline"/>
          <w:lang w:eastAsia="tr-TR"/>
        </w:rPr>
      </w:pPr>
      <w:r w:rsidRPr="00E346B5">
        <w:rPr>
          <w:rFonts w:eastAsia="Times New Roman"/>
          <w:b/>
          <w:sz w:val="24"/>
          <w:szCs w:val="24"/>
          <w:vertAlign w:val="baseline"/>
          <w:lang w:eastAsia="tr-TR"/>
        </w:rPr>
        <w:t>Madde</w:t>
      </w:r>
      <w:r w:rsidR="007773C4" w:rsidRPr="00E346B5">
        <w:rPr>
          <w:rFonts w:eastAsia="Times New Roman"/>
          <w:b/>
          <w:sz w:val="24"/>
          <w:szCs w:val="24"/>
          <w:vertAlign w:val="baseline"/>
          <w:lang w:eastAsia="tr-TR"/>
        </w:rPr>
        <w:t xml:space="preserve"> 2</w:t>
      </w:r>
      <w:r w:rsidR="007773C4" w:rsidRPr="00E346B5">
        <w:rPr>
          <w:rFonts w:eastAsia="Times New Roman"/>
          <w:sz w:val="24"/>
          <w:szCs w:val="24"/>
          <w:vertAlign w:val="baseline"/>
          <w:lang w:eastAsia="tr-TR"/>
        </w:rPr>
        <w:t>- Bu Usul ve Esaslar dağıtım lisansı sahibi tüzel kişilerin dağıtım sistemi gelir düzenlemesi kapsamında ön kabulden geçmiş yatırım harcamalarının belirlenmesi ve gerçekleşmesinin izlenmesine ilişkin kuralları kapsar.</w:t>
      </w:r>
    </w:p>
    <w:p w:rsidR="007773C4" w:rsidRPr="00E346B5" w:rsidRDefault="007773C4" w:rsidP="00E67773">
      <w:pPr>
        <w:spacing w:line="240" w:lineRule="exact"/>
        <w:jc w:val="both"/>
        <w:rPr>
          <w:rFonts w:eastAsia="Times New Roman"/>
          <w:sz w:val="24"/>
          <w:szCs w:val="24"/>
          <w:vertAlign w:val="baseline"/>
          <w:lang w:eastAsia="tr-TR"/>
        </w:rPr>
      </w:pPr>
    </w:p>
    <w:p w:rsidR="00084AF2" w:rsidRPr="00E346B5" w:rsidRDefault="00642E8B" w:rsidP="00E67773">
      <w:pPr>
        <w:jc w:val="both"/>
        <w:rPr>
          <w:rFonts w:eastAsia="Times New Roman"/>
          <w:b/>
          <w:sz w:val="24"/>
          <w:szCs w:val="24"/>
          <w:vertAlign w:val="baseline"/>
          <w:lang w:eastAsia="tr-TR"/>
        </w:rPr>
      </w:pPr>
      <w:r w:rsidRPr="00E346B5">
        <w:rPr>
          <w:rFonts w:eastAsia="Times New Roman"/>
          <w:b/>
          <w:sz w:val="24"/>
          <w:szCs w:val="24"/>
          <w:vertAlign w:val="baseline"/>
          <w:lang w:eastAsia="tr-TR"/>
        </w:rPr>
        <w:t>Dayanak</w:t>
      </w:r>
    </w:p>
    <w:p w:rsidR="00A02FEC" w:rsidRPr="00E346B5" w:rsidRDefault="003E248B" w:rsidP="00E67773">
      <w:pPr>
        <w:spacing w:line="240" w:lineRule="exact"/>
        <w:jc w:val="both"/>
        <w:rPr>
          <w:rFonts w:eastAsia="Times New Roman"/>
          <w:sz w:val="24"/>
          <w:szCs w:val="24"/>
          <w:vertAlign w:val="baseline"/>
          <w:lang w:eastAsia="tr-TR"/>
        </w:rPr>
      </w:pPr>
      <w:r w:rsidRPr="00E346B5">
        <w:rPr>
          <w:rFonts w:eastAsia="Times New Roman"/>
          <w:b/>
          <w:sz w:val="24"/>
          <w:szCs w:val="24"/>
          <w:vertAlign w:val="baseline"/>
          <w:lang w:eastAsia="tr-TR"/>
        </w:rPr>
        <w:t>Madde</w:t>
      </w:r>
      <w:r w:rsidR="00642E8B" w:rsidRPr="00E346B5">
        <w:rPr>
          <w:rFonts w:eastAsia="Times New Roman"/>
          <w:b/>
          <w:sz w:val="24"/>
          <w:szCs w:val="24"/>
          <w:vertAlign w:val="baseline"/>
          <w:lang w:eastAsia="tr-TR"/>
        </w:rPr>
        <w:t xml:space="preserve"> </w:t>
      </w:r>
      <w:r w:rsidRPr="00E346B5">
        <w:rPr>
          <w:rFonts w:eastAsia="Times New Roman"/>
          <w:b/>
          <w:sz w:val="24"/>
          <w:szCs w:val="24"/>
          <w:vertAlign w:val="baseline"/>
          <w:lang w:eastAsia="tr-TR"/>
        </w:rPr>
        <w:t>3</w:t>
      </w:r>
      <w:r w:rsidR="00C30C73" w:rsidRPr="00E346B5">
        <w:rPr>
          <w:rFonts w:eastAsia="Times New Roman"/>
          <w:b/>
          <w:sz w:val="24"/>
          <w:szCs w:val="24"/>
          <w:vertAlign w:val="baseline"/>
          <w:lang w:eastAsia="tr-TR"/>
        </w:rPr>
        <w:t>-</w:t>
      </w:r>
      <w:r w:rsidR="00C30C73" w:rsidRPr="00E346B5">
        <w:rPr>
          <w:rFonts w:eastAsia="Times New Roman"/>
          <w:sz w:val="24"/>
          <w:szCs w:val="24"/>
          <w:vertAlign w:val="baseline"/>
          <w:lang w:eastAsia="tr-TR"/>
        </w:rPr>
        <w:t xml:space="preserve"> </w:t>
      </w:r>
      <w:r w:rsidR="00287BCA" w:rsidRPr="00E346B5">
        <w:rPr>
          <w:rFonts w:eastAsia="Times New Roman"/>
          <w:sz w:val="24"/>
          <w:szCs w:val="24"/>
          <w:vertAlign w:val="baseline"/>
          <w:lang w:eastAsia="tr-TR"/>
        </w:rPr>
        <w:t xml:space="preserve">Bu </w:t>
      </w:r>
      <w:r w:rsidR="00327D9E" w:rsidRPr="00E346B5">
        <w:rPr>
          <w:rFonts w:eastAsia="Times New Roman"/>
          <w:sz w:val="24"/>
          <w:szCs w:val="24"/>
          <w:vertAlign w:val="baseline"/>
          <w:lang w:eastAsia="tr-TR"/>
        </w:rPr>
        <w:t>Usul ve Esaslar</w:t>
      </w:r>
      <w:r w:rsidR="00287BCA" w:rsidRPr="00E346B5">
        <w:rPr>
          <w:rFonts w:eastAsia="Times New Roman"/>
          <w:sz w:val="24"/>
          <w:szCs w:val="24"/>
          <w:vertAlign w:val="baseline"/>
          <w:lang w:eastAsia="tr-TR"/>
        </w:rPr>
        <w:t xml:space="preserve">, </w:t>
      </w:r>
      <w:r w:rsidR="007773C4" w:rsidRPr="00E346B5">
        <w:rPr>
          <w:rFonts w:eastAsia="Times New Roman"/>
          <w:sz w:val="24"/>
          <w:szCs w:val="24"/>
          <w:vertAlign w:val="baseline"/>
          <w:lang w:eastAsia="tr-TR"/>
        </w:rPr>
        <w:t xml:space="preserve">Dağıtım Sistemi Gelirlerinin Düzenlenmesi Hakkında </w:t>
      </w:r>
      <w:r w:rsidR="002E105F" w:rsidRPr="00E346B5">
        <w:rPr>
          <w:rFonts w:eastAsia="Times New Roman"/>
          <w:sz w:val="24"/>
          <w:szCs w:val="24"/>
          <w:vertAlign w:val="baseline"/>
          <w:lang w:eastAsia="tr-TR"/>
        </w:rPr>
        <w:t>Tebliğ</w:t>
      </w:r>
      <w:r w:rsidR="00287BCA" w:rsidRPr="00E346B5">
        <w:rPr>
          <w:rFonts w:eastAsia="Times New Roman"/>
          <w:sz w:val="24"/>
          <w:szCs w:val="24"/>
          <w:vertAlign w:val="baseline"/>
          <w:lang w:eastAsia="tr-TR"/>
        </w:rPr>
        <w:t xml:space="preserve"> </w:t>
      </w:r>
      <w:r w:rsidR="008B7CB7" w:rsidRPr="00E346B5">
        <w:rPr>
          <w:rFonts w:eastAsia="Times New Roman"/>
          <w:sz w:val="24"/>
          <w:szCs w:val="24"/>
          <w:vertAlign w:val="baseline"/>
          <w:lang w:eastAsia="tr-TR"/>
        </w:rPr>
        <w:t>hükümlerine dayanılarak</w:t>
      </w:r>
      <w:r w:rsidR="00287BCA" w:rsidRPr="00E346B5">
        <w:rPr>
          <w:rFonts w:eastAsia="Times New Roman"/>
          <w:sz w:val="24"/>
          <w:szCs w:val="24"/>
          <w:vertAlign w:val="baseline"/>
          <w:lang w:eastAsia="tr-TR"/>
        </w:rPr>
        <w:t xml:space="preserve"> hazırlanmıştır.</w:t>
      </w:r>
    </w:p>
    <w:p w:rsidR="00A02FEC" w:rsidRPr="00E346B5" w:rsidRDefault="00A02FEC" w:rsidP="00E67773">
      <w:pPr>
        <w:spacing w:line="240" w:lineRule="exact"/>
        <w:jc w:val="both"/>
        <w:rPr>
          <w:rFonts w:eastAsia="Times New Roman"/>
          <w:sz w:val="24"/>
          <w:szCs w:val="24"/>
          <w:vertAlign w:val="baseline"/>
          <w:lang w:eastAsia="tr-TR"/>
        </w:rPr>
      </w:pPr>
    </w:p>
    <w:p w:rsidR="00084AF2" w:rsidRPr="00E346B5" w:rsidRDefault="00642E8B" w:rsidP="00E67773">
      <w:pPr>
        <w:jc w:val="both"/>
        <w:rPr>
          <w:rFonts w:eastAsia="Times New Roman"/>
          <w:b/>
          <w:sz w:val="24"/>
          <w:szCs w:val="24"/>
          <w:vertAlign w:val="baseline"/>
          <w:lang w:eastAsia="tr-TR"/>
        </w:rPr>
      </w:pPr>
      <w:r w:rsidRPr="00E346B5">
        <w:rPr>
          <w:rFonts w:eastAsia="Times New Roman"/>
          <w:b/>
          <w:sz w:val="24"/>
          <w:szCs w:val="24"/>
          <w:vertAlign w:val="baseline"/>
          <w:lang w:eastAsia="tr-TR"/>
        </w:rPr>
        <w:t>Tanımlar</w:t>
      </w:r>
    </w:p>
    <w:p w:rsidR="00084AF2" w:rsidRPr="00E346B5" w:rsidRDefault="003E248B" w:rsidP="003E248B">
      <w:pPr>
        <w:tabs>
          <w:tab w:val="left" w:pos="720"/>
        </w:tabs>
        <w:spacing w:line="360" w:lineRule="auto"/>
        <w:jc w:val="both"/>
        <w:rPr>
          <w:rFonts w:eastAsia="Times New Roman"/>
          <w:sz w:val="24"/>
          <w:szCs w:val="24"/>
          <w:vertAlign w:val="baseline"/>
          <w:lang w:eastAsia="tr-TR"/>
        </w:rPr>
      </w:pPr>
      <w:r w:rsidRPr="00E346B5">
        <w:rPr>
          <w:rFonts w:eastAsia="Times New Roman"/>
          <w:b/>
          <w:sz w:val="24"/>
          <w:szCs w:val="24"/>
          <w:vertAlign w:val="baseline"/>
          <w:lang w:eastAsia="tr-TR"/>
        </w:rPr>
        <w:t>Madde</w:t>
      </w:r>
      <w:r w:rsidR="00642E8B" w:rsidRPr="00E346B5">
        <w:rPr>
          <w:rFonts w:eastAsia="Times New Roman"/>
          <w:b/>
          <w:sz w:val="24"/>
          <w:szCs w:val="24"/>
          <w:vertAlign w:val="baseline"/>
          <w:lang w:eastAsia="tr-TR"/>
        </w:rPr>
        <w:t xml:space="preserve"> </w:t>
      </w:r>
      <w:r w:rsidRPr="00E346B5">
        <w:rPr>
          <w:rFonts w:eastAsia="Times New Roman"/>
          <w:b/>
          <w:sz w:val="24"/>
          <w:szCs w:val="24"/>
          <w:vertAlign w:val="baseline"/>
          <w:lang w:eastAsia="tr-TR"/>
        </w:rPr>
        <w:t>4</w:t>
      </w:r>
      <w:r w:rsidR="00C30C73" w:rsidRPr="00E346B5">
        <w:rPr>
          <w:rFonts w:eastAsia="Times New Roman"/>
          <w:b/>
          <w:sz w:val="24"/>
          <w:szCs w:val="24"/>
          <w:vertAlign w:val="baseline"/>
          <w:lang w:eastAsia="tr-TR"/>
        </w:rPr>
        <w:t xml:space="preserve">- </w:t>
      </w:r>
      <w:r w:rsidR="004B3B30" w:rsidRPr="00E346B5">
        <w:rPr>
          <w:rFonts w:eastAsia="Times New Roman"/>
          <w:sz w:val="24"/>
          <w:szCs w:val="24"/>
          <w:vertAlign w:val="baseline"/>
          <w:lang w:eastAsia="tr-TR"/>
        </w:rPr>
        <w:t xml:space="preserve">(1) </w:t>
      </w:r>
      <w:r w:rsidR="00C30C73" w:rsidRPr="00E346B5">
        <w:rPr>
          <w:rFonts w:eastAsia="Times New Roman"/>
          <w:sz w:val="24"/>
          <w:szCs w:val="24"/>
          <w:vertAlign w:val="baseline"/>
          <w:lang w:eastAsia="tr-TR"/>
        </w:rPr>
        <w:t xml:space="preserve">Bu </w:t>
      </w:r>
      <w:r w:rsidR="00327D9E" w:rsidRPr="00E346B5">
        <w:rPr>
          <w:rFonts w:eastAsia="Times New Roman"/>
          <w:sz w:val="24"/>
          <w:szCs w:val="24"/>
          <w:vertAlign w:val="baseline"/>
          <w:lang w:eastAsia="tr-TR"/>
        </w:rPr>
        <w:t>Usul ve Esaslar</w:t>
      </w:r>
      <w:r w:rsidR="00C30C73" w:rsidRPr="00E346B5">
        <w:rPr>
          <w:rFonts w:eastAsia="Times New Roman"/>
          <w:sz w:val="24"/>
          <w:szCs w:val="24"/>
          <w:vertAlign w:val="baseline"/>
          <w:lang w:eastAsia="tr-TR"/>
        </w:rPr>
        <w:t>da geçen;</w:t>
      </w:r>
    </w:p>
    <w:p w:rsidR="00571D80" w:rsidRPr="00686D5B" w:rsidRDefault="00AF38C3" w:rsidP="003035A8">
      <w:pPr>
        <w:pStyle w:val="NormalWeb"/>
        <w:numPr>
          <w:ilvl w:val="0"/>
          <w:numId w:val="40"/>
        </w:numPr>
        <w:spacing w:before="0" w:beforeAutospacing="0" w:after="0" w:afterAutospacing="0"/>
        <w:ind w:left="851" w:hanging="284"/>
        <w:jc w:val="both"/>
      </w:pPr>
      <w:r w:rsidRPr="00686D5B">
        <w:rPr>
          <w:rStyle w:val="DipnotBavurusu"/>
          <w:bCs/>
        </w:rPr>
        <w:footnoteReference w:id="2"/>
      </w:r>
    </w:p>
    <w:p w:rsidR="00AE3459" w:rsidRPr="00E346B5" w:rsidRDefault="00AE3459" w:rsidP="003035A8">
      <w:pPr>
        <w:pStyle w:val="NormalWeb"/>
        <w:numPr>
          <w:ilvl w:val="0"/>
          <w:numId w:val="40"/>
        </w:numPr>
        <w:spacing w:before="0" w:beforeAutospacing="0" w:after="0" w:afterAutospacing="0"/>
        <w:ind w:left="851" w:hanging="284"/>
        <w:jc w:val="both"/>
      </w:pPr>
      <w:r w:rsidRPr="00E346B5">
        <w:rPr>
          <w:b/>
        </w:rPr>
        <w:t>Bildirim talimatı:</w:t>
      </w:r>
      <w:r w:rsidR="008B7CB7" w:rsidRPr="00E346B5">
        <w:t xml:space="preserve"> 24/12/</w:t>
      </w:r>
      <w:r w:rsidRPr="00E346B5">
        <w:t>2014 tarihli ve 29215 sayılı Resmi Gazetede yayımlanan Enerji Piyasası Bildirim Sistemi Kullanım Talimatını,</w:t>
      </w:r>
    </w:p>
    <w:p w:rsidR="00571D80" w:rsidRPr="00E346B5" w:rsidRDefault="00287BCA" w:rsidP="003035A8">
      <w:pPr>
        <w:pStyle w:val="NormalWeb"/>
        <w:numPr>
          <w:ilvl w:val="0"/>
          <w:numId w:val="40"/>
        </w:numPr>
        <w:spacing w:before="0" w:beforeAutospacing="0" w:after="0" w:afterAutospacing="0"/>
        <w:ind w:left="851" w:hanging="284"/>
        <w:jc w:val="both"/>
      </w:pPr>
      <w:r w:rsidRPr="00E346B5">
        <w:rPr>
          <w:b/>
        </w:rPr>
        <w:t>Birim bedel:</w:t>
      </w:r>
      <w:r w:rsidRPr="00E346B5">
        <w:t xml:space="preserve"> </w:t>
      </w:r>
      <w:r w:rsidR="00B22AAF" w:rsidRPr="00E346B5">
        <w:t xml:space="preserve">Dağıtım tesisinde kullanılan ve kapsamı </w:t>
      </w:r>
      <w:r w:rsidR="008B7CB7" w:rsidRPr="00E346B5">
        <w:t xml:space="preserve">Kurul tarafından belirlenen </w:t>
      </w:r>
      <w:r w:rsidR="00B22AAF" w:rsidRPr="00E346B5">
        <w:t xml:space="preserve">Birim Bedel Tariflerinde belirlenmiş olan </w:t>
      </w:r>
      <w:r w:rsidR="00094F47" w:rsidRPr="00E346B5">
        <w:t>bedeli</w:t>
      </w:r>
      <w:r w:rsidR="00327D9E" w:rsidRPr="00E346B5">
        <w:t>,</w:t>
      </w:r>
      <w:r w:rsidR="00B22AAF" w:rsidRPr="00E346B5">
        <w:t xml:space="preserve"> sayaçlar için sadece malzeme birim maliyetini,</w:t>
      </w:r>
    </w:p>
    <w:p w:rsidR="00AE3459" w:rsidRPr="00E346B5" w:rsidRDefault="00AE3459" w:rsidP="003035A8">
      <w:pPr>
        <w:pStyle w:val="NormalWeb"/>
        <w:spacing w:before="0" w:beforeAutospacing="0" w:after="0" w:afterAutospacing="0"/>
        <w:ind w:left="851" w:hanging="284"/>
        <w:jc w:val="both"/>
      </w:pPr>
      <w:r w:rsidRPr="00E346B5">
        <w:rPr>
          <w:b/>
        </w:rPr>
        <w:t xml:space="preserve">ç) </w:t>
      </w:r>
      <w:r w:rsidR="00844075" w:rsidRPr="00E346B5">
        <w:rPr>
          <w:b/>
        </w:rPr>
        <w:t>D</w:t>
      </w:r>
      <w:r w:rsidR="00287BCA" w:rsidRPr="00E346B5">
        <w:rPr>
          <w:b/>
          <w:bCs/>
        </w:rPr>
        <w:t>ağıtım şirketi:</w:t>
      </w:r>
      <w:r w:rsidR="00287BCA" w:rsidRPr="00E346B5">
        <w:t xml:space="preserve"> </w:t>
      </w:r>
      <w:r w:rsidR="001804CD" w:rsidRPr="00E346B5">
        <w:t>Belirlenen bir bölgede elektrik dağıtımı ile iştigal eden dağıtım lisansı sahibi tüzel kişiyi,</w:t>
      </w:r>
    </w:p>
    <w:p w:rsidR="00571D80" w:rsidRPr="00E346B5" w:rsidRDefault="00520CAC" w:rsidP="003035A8">
      <w:pPr>
        <w:pStyle w:val="NormalWeb"/>
        <w:numPr>
          <w:ilvl w:val="0"/>
          <w:numId w:val="40"/>
        </w:numPr>
        <w:spacing w:before="0" w:beforeAutospacing="0" w:after="0" w:afterAutospacing="0"/>
        <w:ind w:left="851" w:hanging="284"/>
        <w:jc w:val="both"/>
      </w:pPr>
      <w:r w:rsidRPr="00E346B5">
        <w:rPr>
          <w:b/>
        </w:rPr>
        <w:t xml:space="preserve">Dağıtım tesisi: </w:t>
      </w:r>
      <w:r w:rsidRPr="00E346B5">
        <w:t xml:space="preserve">İletim tesislerinin ve dağıtım gerilim seviyesinden bağlı üretim ve tüketim tesislerine ait şalt sahalarının bittiği noktadan sonraki nihayet direğinden, alçak gerilim seviyesinden bağlı tüketicilerin yapı bina giriş noktalarına kadar, bina giriş ve </w:t>
      </w:r>
      <w:r w:rsidRPr="00E346B5">
        <w:lastRenderedPageBreak/>
        <w:t>sayaç arası hariç, elektrik dağıtımı için teçhiz edilmiş tesis ve teçhizat ile dağıtım şirketince teçhiz edilen ya da devralınan sayaçları,</w:t>
      </w:r>
    </w:p>
    <w:p w:rsidR="00571D80" w:rsidRPr="00E346B5" w:rsidRDefault="004A5D92" w:rsidP="003035A8">
      <w:pPr>
        <w:pStyle w:val="NormalWeb"/>
        <w:numPr>
          <w:ilvl w:val="0"/>
          <w:numId w:val="40"/>
        </w:numPr>
        <w:spacing w:before="0" w:beforeAutospacing="0" w:after="0" w:afterAutospacing="0"/>
        <w:ind w:left="851" w:hanging="284"/>
        <w:jc w:val="both"/>
      </w:pPr>
      <w:r w:rsidRPr="00E346B5">
        <w:rPr>
          <w:b/>
        </w:rPr>
        <w:t>Ekonomik ömür:</w:t>
      </w:r>
      <w:r w:rsidRPr="00E346B5">
        <w:t xml:space="preserve"> Bir varlığın işletmeye ekonomik fayda sağ</w:t>
      </w:r>
      <w:r w:rsidR="00FA1832" w:rsidRPr="00E346B5">
        <w:t>laması beklenen tahmini süreyi,</w:t>
      </w:r>
    </w:p>
    <w:p w:rsidR="00571D80" w:rsidRPr="00E346B5" w:rsidRDefault="00A3490B" w:rsidP="003035A8">
      <w:pPr>
        <w:pStyle w:val="NormalWeb"/>
        <w:numPr>
          <w:ilvl w:val="0"/>
          <w:numId w:val="40"/>
        </w:numPr>
        <w:spacing w:before="0" w:beforeAutospacing="0" w:after="0" w:afterAutospacing="0"/>
        <w:ind w:left="851" w:hanging="284"/>
        <w:jc w:val="both"/>
      </w:pPr>
      <w:r w:rsidRPr="00E346B5">
        <w:rPr>
          <w:b/>
          <w:bCs/>
        </w:rPr>
        <w:t>Geçici kabul tutanağı:</w:t>
      </w:r>
      <w:r w:rsidR="00D93833" w:rsidRPr="00E346B5">
        <w:t xml:space="preserve"> </w:t>
      </w:r>
      <w:r w:rsidR="004D5054" w:rsidRPr="00E346B5">
        <w:t>Elektrik dağıtım şebekelerinin kabulüne ilişkin</w:t>
      </w:r>
      <w:r w:rsidR="004D5054" w:rsidRPr="00E346B5">
        <w:rPr>
          <w:color w:val="FF0000"/>
        </w:rPr>
        <w:t xml:space="preserve"> </w:t>
      </w:r>
      <w:r w:rsidR="00001AF2" w:rsidRPr="00E346B5">
        <w:t>Enerji ve T</w:t>
      </w:r>
      <w:r w:rsidR="0023432F" w:rsidRPr="00E346B5">
        <w:t xml:space="preserve">abii Kaynaklar </w:t>
      </w:r>
      <w:r w:rsidR="004D5054" w:rsidRPr="00E346B5">
        <w:t>Bakanlı</w:t>
      </w:r>
      <w:r w:rsidR="0023432F" w:rsidRPr="00E346B5">
        <w:t>ğı</w:t>
      </w:r>
      <w:r w:rsidR="004D5054" w:rsidRPr="00E346B5">
        <w:t xml:space="preserve"> tarafından yayımlanan mevzuat uyarınca onaylanmış belge ve ekleri ile dağıtım şirketi tarafından yapılan diğer yatırım harcamalarının istenen şartları sağladığına dair varsa mevzuatta tanımlanan yetkili kurum ve kuruluşlarca, yoksa ilgili dağıtım şirketince düzenlenerek onaylanan belge ve ekleri,</w:t>
      </w:r>
    </w:p>
    <w:p w:rsidR="00083145" w:rsidRPr="00E346B5" w:rsidRDefault="00CB198F" w:rsidP="00083145">
      <w:pPr>
        <w:pStyle w:val="NormalWeb"/>
        <w:numPr>
          <w:ilvl w:val="0"/>
          <w:numId w:val="40"/>
        </w:numPr>
        <w:spacing w:before="0" w:beforeAutospacing="0" w:after="0" w:afterAutospacing="0"/>
        <w:ind w:left="851" w:hanging="284"/>
        <w:jc w:val="both"/>
        <w:rPr>
          <w:bCs/>
        </w:rPr>
      </w:pPr>
      <w:r>
        <w:rPr>
          <w:rStyle w:val="DipnotBavurusu"/>
          <w:b/>
          <w:bCs/>
        </w:rPr>
        <w:footnoteReference w:id="3"/>
      </w:r>
      <w:r w:rsidR="00083145" w:rsidRPr="00E346B5">
        <w:rPr>
          <w:b/>
          <w:bCs/>
        </w:rPr>
        <w:t>Kabul edilen net yatırım harcamaları:</w:t>
      </w:r>
      <w:r w:rsidR="00083145" w:rsidRPr="00E346B5">
        <w:rPr>
          <w:bCs/>
        </w:rPr>
        <w:t xml:space="preserve"> Kabul edilen yatırım harcamaları tutarından varlık satış </w:t>
      </w:r>
      <w:r w:rsidR="000A1239">
        <w:rPr>
          <w:bCs/>
        </w:rPr>
        <w:t>ve bağlantı</w:t>
      </w:r>
      <w:r w:rsidR="000A1239" w:rsidRPr="00E346B5">
        <w:rPr>
          <w:bCs/>
        </w:rPr>
        <w:t xml:space="preserve"> </w:t>
      </w:r>
      <w:r w:rsidR="00083145" w:rsidRPr="00E346B5">
        <w:rPr>
          <w:bCs/>
        </w:rPr>
        <w:t>gelirlerinin düşülmesi suretiyle her bir tarife yılı için hesaplanan tutarı,</w:t>
      </w:r>
    </w:p>
    <w:p w:rsidR="00083145" w:rsidRPr="00E346B5" w:rsidRDefault="00083145" w:rsidP="00083145">
      <w:pPr>
        <w:pStyle w:val="NormalWeb"/>
        <w:spacing w:before="0" w:beforeAutospacing="0" w:after="0" w:afterAutospacing="0"/>
        <w:ind w:left="851" w:hanging="284"/>
        <w:jc w:val="both"/>
      </w:pPr>
      <w:r w:rsidRPr="00E346B5">
        <w:rPr>
          <w:b/>
          <w:bCs/>
        </w:rPr>
        <w:t>ğ) Kabul edilen yatırım harcamaları:</w:t>
      </w:r>
      <w:r w:rsidRPr="00E346B5">
        <w:t xml:space="preserve"> Ön kabulden geçmiş yatırım harcamalarından Tebliğ hükümlerine göre gelir ve tarife düzenlemelerinde esas alınmaları Kurul Kararıyla onaylanan yatırım harcamalarını,</w:t>
      </w:r>
    </w:p>
    <w:p w:rsidR="00083145" w:rsidRPr="00E346B5" w:rsidRDefault="006E4B43" w:rsidP="00083145">
      <w:pPr>
        <w:pStyle w:val="NormalWeb"/>
        <w:numPr>
          <w:ilvl w:val="0"/>
          <w:numId w:val="40"/>
        </w:numPr>
        <w:spacing w:before="0" w:beforeAutospacing="0" w:after="0" w:afterAutospacing="0"/>
        <w:ind w:left="851" w:hanging="284"/>
        <w:jc w:val="both"/>
      </w:pPr>
      <w:r w:rsidRPr="00E346B5">
        <w:rPr>
          <w:b/>
        </w:rPr>
        <w:t>Kanun:</w:t>
      </w:r>
      <w:r w:rsidRPr="00E346B5">
        <w:t xml:space="preserve"> 6446 </w:t>
      </w:r>
      <w:r w:rsidR="00D6383B" w:rsidRPr="00E346B5">
        <w:t xml:space="preserve">sayılı </w:t>
      </w:r>
      <w:r w:rsidRPr="00E346B5">
        <w:t>Elektrik Piyasası Kanununu,</w:t>
      </w:r>
    </w:p>
    <w:p w:rsidR="006B2A82" w:rsidRPr="00E346B5" w:rsidRDefault="00083145" w:rsidP="00083145">
      <w:pPr>
        <w:pStyle w:val="NormalWeb"/>
        <w:spacing w:before="0" w:beforeAutospacing="0" w:after="0" w:afterAutospacing="0"/>
        <w:ind w:left="851" w:hanging="284"/>
        <w:jc w:val="both"/>
      </w:pPr>
      <w:r w:rsidRPr="00E346B5">
        <w:rPr>
          <w:b/>
          <w:bCs/>
        </w:rPr>
        <w:t xml:space="preserve">ı)  </w:t>
      </w:r>
      <w:r w:rsidR="004A5D92" w:rsidRPr="00E346B5">
        <w:rPr>
          <w:b/>
          <w:bCs/>
        </w:rPr>
        <w:t>Kurul:</w:t>
      </w:r>
      <w:r w:rsidR="004A5D92" w:rsidRPr="00E346B5">
        <w:t xml:space="preserve"> Enerji Piyasası Düzenleme Kurulunu,</w:t>
      </w:r>
    </w:p>
    <w:p w:rsidR="006B2A82" w:rsidRPr="00E346B5" w:rsidRDefault="004A5D92" w:rsidP="00083145">
      <w:pPr>
        <w:pStyle w:val="NormalWeb"/>
        <w:numPr>
          <w:ilvl w:val="0"/>
          <w:numId w:val="40"/>
        </w:numPr>
        <w:spacing w:before="0" w:beforeAutospacing="0" w:after="0" w:afterAutospacing="0"/>
        <w:ind w:left="851" w:hanging="284"/>
        <w:jc w:val="both"/>
      </w:pPr>
      <w:r w:rsidRPr="00E346B5">
        <w:rPr>
          <w:b/>
          <w:bCs/>
        </w:rPr>
        <w:t>Kurum:</w:t>
      </w:r>
      <w:r w:rsidRPr="00E346B5">
        <w:t xml:space="preserve"> Enerji Piyasası Düzenleme Kurumunu,</w:t>
      </w:r>
    </w:p>
    <w:p w:rsidR="006B2A82" w:rsidRPr="00E346B5" w:rsidRDefault="000F077B" w:rsidP="00B326E1">
      <w:pPr>
        <w:pStyle w:val="NormalWeb"/>
        <w:numPr>
          <w:ilvl w:val="0"/>
          <w:numId w:val="40"/>
        </w:numPr>
        <w:spacing w:before="0" w:beforeAutospacing="0" w:after="0" w:afterAutospacing="0"/>
        <w:ind w:left="851" w:hanging="284"/>
        <w:jc w:val="both"/>
      </w:pPr>
      <w:r>
        <w:rPr>
          <w:rStyle w:val="DipnotBavurusu"/>
        </w:rPr>
        <w:footnoteReference w:id="4"/>
      </w:r>
      <w:r>
        <w:rPr>
          <w:b/>
          <w:bCs/>
        </w:rPr>
        <w:t xml:space="preserve"> </w:t>
      </w:r>
      <w:r w:rsidR="004A5D92" w:rsidRPr="00E346B5">
        <w:rPr>
          <w:b/>
          <w:bCs/>
        </w:rPr>
        <w:t>Master plan:</w:t>
      </w:r>
      <w:r w:rsidR="00AF38C3">
        <w:t xml:space="preserve"> </w:t>
      </w:r>
      <w:r w:rsidR="00AF38C3" w:rsidRPr="00AF38C3">
        <w:t>Elektrik dağıtım tesisinde; talep artışının karşılanması, tedarik sürekliliği, teknik ve ticari kalite parametrelerinin geliştirilmesi, müşterilere sunulan ve sunulacak hizmet kalitesinin artırılması ekonomik ömrünü doldurmuş şebekenin yenilenmesi amacıyla talep tahmini ve bölgesel gelişim parametrelerinden yararlanılarak düzenlen</w:t>
      </w:r>
      <w:r w:rsidR="00AF38C3">
        <w:t xml:space="preserve">en 5 ve10 yıllık yapılan planı, </w:t>
      </w:r>
      <w:r w:rsidR="00FA1832" w:rsidRPr="00E346B5">
        <w:t xml:space="preserve"> </w:t>
      </w:r>
    </w:p>
    <w:p w:rsidR="006B2A82" w:rsidRPr="00E346B5" w:rsidRDefault="00C15376" w:rsidP="00083145">
      <w:pPr>
        <w:pStyle w:val="NormalWeb"/>
        <w:numPr>
          <w:ilvl w:val="0"/>
          <w:numId w:val="40"/>
        </w:numPr>
        <w:spacing w:before="0" w:beforeAutospacing="0" w:after="0" w:afterAutospacing="0"/>
        <w:ind w:left="851" w:hanging="284"/>
        <w:jc w:val="both"/>
      </w:pPr>
      <w:r w:rsidRPr="00E346B5">
        <w:rPr>
          <w:b/>
        </w:rPr>
        <w:t>Otomatik Sayaç Okuma Sistemi (OSOS):</w:t>
      </w:r>
      <w:r w:rsidRPr="00E346B5">
        <w:t xml:space="preserve"> Sayaç verilerinin otomatik olarak uzaktan okunabilmesi, verilerin merkezi bir sisteme aktarılması, doğrulanması, eksik verilerin doldurulması, verilerin saklanması ve ilgili taraflara istenen formatta sunulması amacıyla, TEİAŞ ve dağıtım lisansı sahibi tüzel kişiler tarafından kurulacak olan ve gerekli yazılım, donanım ve iletişim altyapısını kapsayan sistemi,</w:t>
      </w:r>
    </w:p>
    <w:p w:rsidR="00083145" w:rsidRPr="00E346B5" w:rsidRDefault="00083145" w:rsidP="00083145">
      <w:pPr>
        <w:pStyle w:val="NormalWeb"/>
        <w:numPr>
          <w:ilvl w:val="0"/>
          <w:numId w:val="40"/>
        </w:numPr>
        <w:spacing w:before="0" w:beforeAutospacing="0" w:after="0" w:afterAutospacing="0"/>
        <w:ind w:left="851" w:hanging="284"/>
        <w:jc w:val="both"/>
      </w:pPr>
      <w:r w:rsidRPr="00E346B5">
        <w:rPr>
          <w:b/>
          <w:bCs/>
        </w:rPr>
        <w:t>Ön kabulden geçmiş yatırım harcamaları:</w:t>
      </w:r>
      <w:r w:rsidRPr="00E346B5">
        <w:rPr>
          <w:bCs/>
        </w:rPr>
        <w:t xml:space="preserve"> Dağıtım şirketleri tarafından bir tarife yılı içerisinde kullanıma hazır hale getirilen yatırımlar</w:t>
      </w:r>
      <w:r w:rsidR="006E4098" w:rsidRPr="00E346B5">
        <w:rPr>
          <w:bCs/>
        </w:rPr>
        <w:t>ın bu Usul ve Esaslar dikkate alınarak hesaplanan değeri</w:t>
      </w:r>
      <w:r w:rsidRPr="00E346B5">
        <w:rPr>
          <w:bCs/>
        </w:rPr>
        <w:t>,</w:t>
      </w:r>
    </w:p>
    <w:p w:rsidR="003035A8" w:rsidRPr="00E346B5" w:rsidRDefault="00083145" w:rsidP="00083145">
      <w:pPr>
        <w:pStyle w:val="NormalWeb"/>
        <w:numPr>
          <w:ilvl w:val="0"/>
          <w:numId w:val="40"/>
        </w:numPr>
        <w:spacing w:before="0" w:beforeAutospacing="0" w:after="0" w:afterAutospacing="0"/>
        <w:ind w:left="851" w:hanging="284"/>
        <w:jc w:val="both"/>
      </w:pPr>
      <w:r w:rsidRPr="00E346B5">
        <w:rPr>
          <w:b/>
        </w:rPr>
        <w:t xml:space="preserve"> </w:t>
      </w:r>
      <w:r w:rsidR="00C15376" w:rsidRPr="00E346B5">
        <w:rPr>
          <w:b/>
        </w:rPr>
        <w:t>Özel maliyetler hesabı:</w:t>
      </w:r>
      <w:r w:rsidR="00C15376" w:rsidRPr="00E346B5">
        <w:t xml:space="preserve"> Tek Düzen Hesap Planının 264 kodlu Özel Maliyetler hesabını,</w:t>
      </w:r>
    </w:p>
    <w:p w:rsidR="003035A8" w:rsidRPr="00E346B5" w:rsidRDefault="008A27BE" w:rsidP="00083145">
      <w:pPr>
        <w:pStyle w:val="NormalWeb"/>
        <w:numPr>
          <w:ilvl w:val="0"/>
          <w:numId w:val="40"/>
        </w:numPr>
        <w:spacing w:before="0" w:beforeAutospacing="0" w:after="0" w:afterAutospacing="0"/>
        <w:ind w:left="851" w:hanging="284"/>
        <w:jc w:val="both"/>
      </w:pPr>
      <w:r w:rsidRPr="00E346B5">
        <w:rPr>
          <w:b/>
        </w:rPr>
        <w:t>Sayaç Y</w:t>
      </w:r>
      <w:r w:rsidR="00C15376" w:rsidRPr="00E346B5">
        <w:rPr>
          <w:b/>
        </w:rPr>
        <w:t>atırım</w:t>
      </w:r>
      <w:r w:rsidR="00327D9E" w:rsidRPr="00E346B5">
        <w:rPr>
          <w:b/>
        </w:rPr>
        <w:t>lar</w:t>
      </w:r>
      <w:r w:rsidR="00C15376" w:rsidRPr="00E346B5">
        <w:rPr>
          <w:b/>
        </w:rPr>
        <w:t>ı:</w:t>
      </w:r>
      <w:r w:rsidR="00C15376" w:rsidRPr="00E346B5">
        <w:t xml:space="preserve"> Dağıtım şirketi tarafından dağıtım sistemi kullanıcılarının elektrik enerjisi ölçümlerine ilişkin tesis edilmiş olan sayaç</w:t>
      </w:r>
      <w:r w:rsidR="00327D9E" w:rsidRPr="00E346B5">
        <w:t>lara ilişkin sayaç bedelinden ibaret olan</w:t>
      </w:r>
      <w:r w:rsidR="00C15376" w:rsidRPr="00E346B5">
        <w:t xml:space="preserve"> </w:t>
      </w:r>
      <w:r w:rsidR="00327D9E" w:rsidRPr="00E346B5">
        <w:t>yatırımları</w:t>
      </w:r>
      <w:r w:rsidR="00C15376" w:rsidRPr="00E346B5">
        <w:t>,</w:t>
      </w:r>
    </w:p>
    <w:p w:rsidR="003035A8" w:rsidRPr="00E346B5" w:rsidRDefault="008A27BE" w:rsidP="00083145">
      <w:pPr>
        <w:pStyle w:val="NormalWeb"/>
        <w:numPr>
          <w:ilvl w:val="0"/>
          <w:numId w:val="40"/>
        </w:numPr>
        <w:spacing w:before="0" w:beforeAutospacing="0" w:after="0" w:afterAutospacing="0"/>
        <w:ind w:left="851" w:hanging="284"/>
        <w:jc w:val="both"/>
      </w:pPr>
      <w:r w:rsidRPr="00E346B5">
        <w:rPr>
          <w:b/>
        </w:rPr>
        <w:t>Şebeke Y</w:t>
      </w:r>
      <w:r w:rsidR="00D25C5D" w:rsidRPr="00E346B5">
        <w:rPr>
          <w:b/>
        </w:rPr>
        <w:t xml:space="preserve">atırımları: </w:t>
      </w:r>
      <w:r w:rsidR="003F2863" w:rsidRPr="00E346B5">
        <w:t xml:space="preserve">Dağıtım sisteminde </w:t>
      </w:r>
      <w:r w:rsidRPr="00E346B5">
        <w:t xml:space="preserve">tesislerde ve şebekede </w:t>
      </w:r>
      <w:r w:rsidR="003F2863" w:rsidRPr="00E346B5">
        <w:t>kullanılan her türlü havai hat, kablo, trafo, anahtarlama ve aydınlatma tesisleri ile bunlarla mütemmim cüz oluşturan tüm teçhiz ve teçhizata ilişkin yatırımları</w:t>
      </w:r>
      <w:r w:rsidR="00BE7B1D" w:rsidRPr="00E346B5">
        <w:t>,</w:t>
      </w:r>
    </w:p>
    <w:p w:rsidR="003035A8" w:rsidRPr="00E346B5" w:rsidRDefault="00083145" w:rsidP="00083145">
      <w:pPr>
        <w:pStyle w:val="NormalWeb"/>
        <w:spacing w:before="0" w:beforeAutospacing="0" w:after="0" w:afterAutospacing="0"/>
        <w:ind w:left="567"/>
        <w:jc w:val="both"/>
      </w:pPr>
      <w:r w:rsidRPr="00E346B5">
        <w:rPr>
          <w:b/>
          <w:bCs/>
        </w:rPr>
        <w:t xml:space="preserve">ö) </w:t>
      </w:r>
      <w:r w:rsidR="004A5D92" w:rsidRPr="00E346B5">
        <w:rPr>
          <w:b/>
          <w:bCs/>
        </w:rPr>
        <w:t>Tebliğ:</w:t>
      </w:r>
      <w:r w:rsidR="004A5D92" w:rsidRPr="00E346B5">
        <w:t xml:space="preserve"> </w:t>
      </w:r>
      <w:r w:rsidR="00C7523A" w:rsidRPr="00E346B5">
        <w:t>Dağıtım Sistemi Gelirlerinin Düzenlenmesi Hakkında Tebliğ</w:t>
      </w:r>
      <w:r w:rsidR="004A5D92" w:rsidRPr="00E346B5">
        <w:t>,</w:t>
      </w:r>
    </w:p>
    <w:p w:rsidR="003035A8" w:rsidRPr="00E346B5" w:rsidRDefault="00571D80" w:rsidP="00083145">
      <w:pPr>
        <w:pStyle w:val="NormalWeb"/>
        <w:numPr>
          <w:ilvl w:val="0"/>
          <w:numId w:val="40"/>
        </w:numPr>
        <w:spacing w:before="0" w:beforeAutospacing="0" w:after="0" w:afterAutospacing="0"/>
        <w:ind w:left="851" w:hanging="284"/>
        <w:jc w:val="both"/>
      </w:pPr>
      <w:r w:rsidRPr="00E346B5">
        <w:rPr>
          <w:b/>
          <w:bCs/>
        </w:rPr>
        <w:t>Tüketici Fiyat Endeksi (TÜFE):</w:t>
      </w:r>
      <w:r w:rsidRPr="00E346B5">
        <w:t xml:space="preserve"> </w:t>
      </w:r>
      <w:r w:rsidRPr="00E346B5">
        <w:rPr>
          <w:bCs/>
        </w:rPr>
        <w:t>Türkiye İstatistik Kurumu tarafından belirlenen Tüketici Fiyat Endeksini</w:t>
      </w:r>
      <w:r w:rsidRPr="00E346B5">
        <w:t>,</w:t>
      </w:r>
    </w:p>
    <w:p w:rsidR="003035A8" w:rsidRPr="00E346B5" w:rsidRDefault="00C15376" w:rsidP="00083145">
      <w:pPr>
        <w:pStyle w:val="NormalWeb"/>
        <w:numPr>
          <w:ilvl w:val="0"/>
          <w:numId w:val="40"/>
        </w:numPr>
        <w:spacing w:before="0" w:beforeAutospacing="0" w:after="0" w:afterAutospacing="0"/>
        <w:ind w:left="851" w:hanging="284"/>
        <w:jc w:val="both"/>
      </w:pPr>
      <w:r w:rsidRPr="00E346B5">
        <w:rPr>
          <w:b/>
        </w:rPr>
        <w:t>Yapılmakta olan yatırımlar hesabı:</w:t>
      </w:r>
      <w:r w:rsidRPr="00E346B5">
        <w:t xml:space="preserve"> Tek Düzen Hesap Planının 258 kodlu Yapılmakta Olan Yatırımlar hesabını,</w:t>
      </w:r>
    </w:p>
    <w:p w:rsidR="00B22AAF" w:rsidRDefault="00287BCA" w:rsidP="00083145">
      <w:pPr>
        <w:pStyle w:val="NormalWeb"/>
        <w:numPr>
          <w:ilvl w:val="0"/>
          <w:numId w:val="40"/>
        </w:numPr>
        <w:spacing w:before="0" w:beforeAutospacing="0" w:after="0" w:afterAutospacing="0"/>
        <w:ind w:left="851" w:hanging="284"/>
        <w:jc w:val="both"/>
      </w:pPr>
      <w:r w:rsidRPr="00E346B5">
        <w:rPr>
          <w:b/>
        </w:rPr>
        <w:t>Yatırım planı:</w:t>
      </w:r>
      <w:r w:rsidRPr="00E346B5">
        <w:t xml:space="preserve"> </w:t>
      </w:r>
      <w:r w:rsidR="00B22AAF" w:rsidRPr="00E346B5">
        <w:t xml:space="preserve">Kurul tarafından onaylanan talep tahminleri doğrultusunda dağıtım şirketinin, mevcut dağıtım sisteminde yapacağı </w:t>
      </w:r>
      <w:r w:rsidR="00F11E0B" w:rsidRPr="00E346B5">
        <w:t>Şebeke Yatırımları, Şebeke İşletim Sistemi Yatırımları, Sayaç Yatırımları, Çevre, Güvenlik ve Diğer Yasal Zorunluluğu Olan Yatırımlar ile Yatırım Harcaması Niteliğindeki Diğer Harcamaları</w:t>
      </w:r>
      <w:r w:rsidR="00B22AAF" w:rsidRPr="00E346B5">
        <w:t xml:space="preserve"> kapsayan </w:t>
      </w:r>
      <w:r w:rsidR="00B22AAF" w:rsidRPr="00E346B5">
        <w:lastRenderedPageBreak/>
        <w:t>Elektrik Piyasası Tarifeler Yönetmeliği ve ilgili tebliğleri uyarınca yapılan gelir/tarife düzenlemesi çerçevesinde Kurul tarafından onaylanan planı,</w:t>
      </w:r>
    </w:p>
    <w:p w:rsidR="00AF38C3" w:rsidRPr="00E346B5" w:rsidRDefault="000F077B" w:rsidP="00083145">
      <w:pPr>
        <w:pStyle w:val="NormalWeb"/>
        <w:numPr>
          <w:ilvl w:val="0"/>
          <w:numId w:val="40"/>
        </w:numPr>
        <w:spacing w:before="0" w:beforeAutospacing="0" w:after="0" w:afterAutospacing="0"/>
        <w:ind w:left="851" w:hanging="284"/>
        <w:jc w:val="both"/>
      </w:pPr>
      <w:r>
        <w:rPr>
          <w:rStyle w:val="DipnotBavurusu"/>
          <w:rFonts w:eastAsia="Calibri"/>
          <w:lang w:eastAsia="en-US"/>
        </w:rPr>
        <w:footnoteReference w:id="5"/>
      </w:r>
      <w:r>
        <w:rPr>
          <w:rFonts w:eastAsia="Calibri"/>
          <w:b/>
          <w:lang w:eastAsia="en-US"/>
        </w:rPr>
        <w:t xml:space="preserve"> </w:t>
      </w:r>
      <w:r w:rsidR="00AF38C3" w:rsidRPr="003F6BD9">
        <w:rPr>
          <w:rFonts w:eastAsia="Calibri"/>
          <w:b/>
          <w:lang w:eastAsia="en-US"/>
        </w:rPr>
        <w:t>Uygulama dönemi yatırım karakteristiği tavanı:</w:t>
      </w:r>
      <w:r w:rsidR="00AF38C3" w:rsidRPr="003F6BD9">
        <w:rPr>
          <w:rFonts w:eastAsia="Calibri"/>
          <w:lang w:eastAsia="en-US"/>
        </w:rPr>
        <w:t xml:space="preserve"> Onaylı yatırım planında yer alan ve bir yatırım karakteristiğine ait uygulama dönemi boyunca yapılması öngörülen yatırım tutarını,</w:t>
      </w:r>
    </w:p>
    <w:p w:rsidR="00B85B92" w:rsidRPr="00E346B5" w:rsidRDefault="00B85B92" w:rsidP="002350D4">
      <w:pPr>
        <w:pStyle w:val="NormalWeb"/>
        <w:spacing w:before="0" w:beforeAutospacing="0" w:after="0" w:afterAutospacing="0"/>
        <w:ind w:left="567" w:hanging="283"/>
        <w:jc w:val="both"/>
      </w:pPr>
    </w:p>
    <w:p w:rsidR="00F05D43" w:rsidRPr="00E346B5" w:rsidRDefault="00F05D43" w:rsidP="002350D4">
      <w:pPr>
        <w:pStyle w:val="NormalWeb"/>
        <w:spacing w:before="0" w:beforeAutospacing="0" w:after="0" w:afterAutospacing="0"/>
        <w:ind w:left="567" w:hanging="283"/>
        <w:jc w:val="both"/>
      </w:pPr>
      <w:r w:rsidRPr="00E346B5">
        <w:t>ifade eder.</w:t>
      </w:r>
    </w:p>
    <w:p w:rsidR="004B3B30" w:rsidRPr="00E346B5" w:rsidRDefault="004B3B30" w:rsidP="002350D4">
      <w:pPr>
        <w:pStyle w:val="NormalWeb"/>
        <w:spacing w:before="0" w:beforeAutospacing="0" w:after="0" w:afterAutospacing="0"/>
        <w:ind w:left="567" w:hanging="283"/>
        <w:jc w:val="both"/>
      </w:pPr>
    </w:p>
    <w:p w:rsidR="004B3B30" w:rsidRPr="00E346B5" w:rsidRDefault="004B3B30" w:rsidP="004B3B30">
      <w:pPr>
        <w:pStyle w:val="NormalWeb"/>
        <w:spacing w:before="0" w:beforeAutospacing="0" w:after="0" w:afterAutospacing="0"/>
        <w:jc w:val="both"/>
      </w:pPr>
      <w:r w:rsidRPr="00E346B5">
        <w:t xml:space="preserve">(2) Bu </w:t>
      </w:r>
      <w:r w:rsidR="00327D9E" w:rsidRPr="00E346B5">
        <w:t xml:space="preserve">Usul ve Esaslarda </w:t>
      </w:r>
      <w:r w:rsidRPr="00E346B5">
        <w:t>geçen diğer ifade ve kısaltmalar Elektrik Piyasası Kanunu ve bu Kanuna dayanılarak çıkarılan ikincil mevzuattaki anlam ve kapsama sahiptir.</w:t>
      </w:r>
    </w:p>
    <w:p w:rsidR="00B75689" w:rsidRPr="00E346B5" w:rsidRDefault="00B75689" w:rsidP="00E67773">
      <w:pPr>
        <w:tabs>
          <w:tab w:val="left" w:pos="720"/>
        </w:tabs>
        <w:jc w:val="both"/>
        <w:rPr>
          <w:sz w:val="24"/>
          <w:szCs w:val="24"/>
          <w:vertAlign w:val="baseline"/>
        </w:rPr>
      </w:pPr>
    </w:p>
    <w:p w:rsidR="00D7642B" w:rsidRPr="00E346B5" w:rsidRDefault="00D7642B" w:rsidP="00E67773">
      <w:pPr>
        <w:tabs>
          <w:tab w:val="left" w:pos="720"/>
        </w:tabs>
        <w:jc w:val="both"/>
        <w:rPr>
          <w:sz w:val="24"/>
          <w:szCs w:val="24"/>
          <w:vertAlign w:val="baseline"/>
        </w:rPr>
      </w:pPr>
    </w:p>
    <w:p w:rsidR="00D7642B" w:rsidRPr="00E346B5" w:rsidRDefault="00D7642B" w:rsidP="00E67773">
      <w:pPr>
        <w:tabs>
          <w:tab w:val="left" w:pos="720"/>
        </w:tabs>
        <w:jc w:val="both"/>
        <w:rPr>
          <w:sz w:val="24"/>
          <w:szCs w:val="24"/>
          <w:vertAlign w:val="baseline"/>
        </w:rPr>
      </w:pPr>
    </w:p>
    <w:p w:rsidR="00A02FEC" w:rsidRPr="00E346B5" w:rsidRDefault="00D12C1D" w:rsidP="00E67773">
      <w:pPr>
        <w:pStyle w:val="Metin"/>
        <w:spacing w:after="0"/>
        <w:rPr>
          <w:b/>
        </w:rPr>
      </w:pPr>
      <w:r w:rsidRPr="00E346B5">
        <w:rPr>
          <w:b/>
        </w:rPr>
        <w:t>İKİNCİ</w:t>
      </w:r>
      <w:r w:rsidR="00A02FEC" w:rsidRPr="00E346B5">
        <w:rPr>
          <w:b/>
        </w:rPr>
        <w:t xml:space="preserve"> KISIM</w:t>
      </w:r>
    </w:p>
    <w:p w:rsidR="00A02FEC" w:rsidRPr="00E346B5" w:rsidRDefault="005F73BB" w:rsidP="00E67773">
      <w:pPr>
        <w:pStyle w:val="Metin"/>
        <w:spacing w:after="0"/>
        <w:rPr>
          <w:b/>
        </w:rPr>
      </w:pPr>
      <w:r w:rsidRPr="00E346B5">
        <w:rPr>
          <w:b/>
        </w:rPr>
        <w:t>Ön Kabulden Geçmiş</w:t>
      </w:r>
      <w:r w:rsidR="00A02FEC" w:rsidRPr="00E346B5">
        <w:rPr>
          <w:b/>
        </w:rPr>
        <w:t xml:space="preserve"> Yatırım Harcamalarının </w:t>
      </w:r>
      <w:r w:rsidR="00D57889" w:rsidRPr="00E346B5">
        <w:rPr>
          <w:b/>
        </w:rPr>
        <w:t>Belirlenmesine</w:t>
      </w:r>
      <w:r w:rsidR="00A02FEC" w:rsidRPr="00E346B5">
        <w:rPr>
          <w:b/>
        </w:rPr>
        <w:t xml:space="preserve"> İlişkin Esaslar</w:t>
      </w:r>
    </w:p>
    <w:p w:rsidR="00A02FEC" w:rsidRPr="00E346B5" w:rsidRDefault="00A02FEC" w:rsidP="00E67773">
      <w:pPr>
        <w:pStyle w:val="Metin"/>
        <w:spacing w:after="0"/>
        <w:rPr>
          <w:b/>
        </w:rPr>
      </w:pPr>
    </w:p>
    <w:p w:rsidR="00A46325" w:rsidRPr="00E346B5" w:rsidRDefault="00A25506" w:rsidP="00E67773">
      <w:pPr>
        <w:pStyle w:val="Metin"/>
        <w:spacing w:after="0"/>
        <w:rPr>
          <w:b/>
        </w:rPr>
      </w:pPr>
      <w:r w:rsidRPr="00E346B5">
        <w:rPr>
          <w:b/>
        </w:rPr>
        <w:t>Ön Kabulden G</w:t>
      </w:r>
      <w:r w:rsidR="005F73BB" w:rsidRPr="00E346B5">
        <w:rPr>
          <w:b/>
        </w:rPr>
        <w:t xml:space="preserve">eçmiş </w:t>
      </w:r>
      <w:r w:rsidR="003204EC" w:rsidRPr="00E346B5">
        <w:rPr>
          <w:b/>
        </w:rPr>
        <w:t xml:space="preserve">Yatırım Harcaması </w:t>
      </w:r>
      <w:r w:rsidR="00A46325" w:rsidRPr="00E346B5">
        <w:rPr>
          <w:b/>
        </w:rPr>
        <w:t>hesaplamaları</w:t>
      </w:r>
    </w:p>
    <w:p w:rsidR="00CD122A" w:rsidRPr="00E346B5" w:rsidRDefault="003E248B" w:rsidP="00E67773">
      <w:pPr>
        <w:pStyle w:val="NormalWeb"/>
        <w:spacing w:before="0" w:beforeAutospacing="0" w:after="0" w:afterAutospacing="0"/>
        <w:jc w:val="both"/>
      </w:pPr>
      <w:r w:rsidRPr="00E346B5">
        <w:rPr>
          <w:b/>
        </w:rPr>
        <w:t>Madde</w:t>
      </w:r>
      <w:r w:rsidR="00600240" w:rsidRPr="00E346B5">
        <w:rPr>
          <w:b/>
        </w:rPr>
        <w:t xml:space="preserve"> </w:t>
      </w:r>
      <w:r w:rsidRPr="00E346B5">
        <w:rPr>
          <w:b/>
        </w:rPr>
        <w:t>5</w:t>
      </w:r>
      <w:r w:rsidR="00B21D8C" w:rsidRPr="00E346B5">
        <w:rPr>
          <w:b/>
        </w:rPr>
        <w:t xml:space="preserve">- </w:t>
      </w:r>
      <w:r w:rsidR="00F3741C" w:rsidRPr="00E346B5">
        <w:t>(</w:t>
      </w:r>
      <w:r w:rsidR="00C30C73" w:rsidRPr="00E346B5">
        <w:t>1</w:t>
      </w:r>
      <w:r w:rsidR="00CD122A" w:rsidRPr="00E346B5">
        <w:t>)</w:t>
      </w:r>
      <w:r w:rsidR="00CD122A" w:rsidRPr="00E346B5">
        <w:rPr>
          <w:b/>
        </w:rPr>
        <w:t xml:space="preserve"> </w:t>
      </w:r>
      <w:r w:rsidR="00CC0F42" w:rsidRPr="00E346B5">
        <w:t>Lisans sahibi tüzel kişiler tarafından gerçekleştirilen yatırım harcamaları;</w:t>
      </w:r>
      <w:r w:rsidR="00EE59BD" w:rsidRPr="00E346B5">
        <w:rPr>
          <w:highlight w:val="yellow"/>
        </w:rPr>
        <w:t xml:space="preserve"> </w:t>
      </w:r>
    </w:p>
    <w:p w:rsidR="00CC0F42" w:rsidRPr="00E346B5" w:rsidRDefault="00CC0F42" w:rsidP="00E67773">
      <w:pPr>
        <w:pStyle w:val="Metin"/>
        <w:spacing w:after="0"/>
        <w:rPr>
          <w:b/>
        </w:rPr>
      </w:pPr>
    </w:p>
    <w:p w:rsidR="00CC0F42" w:rsidRPr="00E346B5" w:rsidRDefault="00217EE9" w:rsidP="00920A1B">
      <w:pPr>
        <w:pStyle w:val="Metin"/>
        <w:numPr>
          <w:ilvl w:val="0"/>
          <w:numId w:val="10"/>
        </w:numPr>
        <w:tabs>
          <w:tab w:val="clear" w:pos="720"/>
          <w:tab w:val="num" w:pos="567"/>
        </w:tabs>
        <w:spacing w:after="0"/>
        <w:ind w:left="567" w:hanging="283"/>
      </w:pPr>
      <w:r w:rsidRPr="00E346B5">
        <w:t>Kurul tarafından onaylanmış y</w:t>
      </w:r>
      <w:r w:rsidR="00CC0F42" w:rsidRPr="00E346B5">
        <w:t>atırım planları kapsamında yapılmış olması,</w:t>
      </w:r>
    </w:p>
    <w:p w:rsidR="00CC0F42" w:rsidRPr="00EE0DF3" w:rsidRDefault="00CC0F42" w:rsidP="001C7390">
      <w:pPr>
        <w:pStyle w:val="Metin"/>
        <w:numPr>
          <w:ilvl w:val="0"/>
          <w:numId w:val="10"/>
        </w:numPr>
        <w:tabs>
          <w:tab w:val="clear" w:pos="720"/>
          <w:tab w:val="num" w:pos="567"/>
        </w:tabs>
        <w:spacing w:after="0"/>
        <w:ind w:left="567" w:hanging="283"/>
      </w:pPr>
      <w:r w:rsidRPr="00E346B5">
        <w:t xml:space="preserve">Faaliyet </w:t>
      </w:r>
      <w:r w:rsidRPr="00EE0DF3">
        <w:t>ve/veya alt faaliyetin yürütülmesi için yapılması zorunlu olan yatırım harcamaları ile yatırım harcaması niteliğindeki diğer harcamalardan oluşması,</w:t>
      </w:r>
    </w:p>
    <w:p w:rsidR="00EC5BF9" w:rsidRPr="00EE0DF3" w:rsidRDefault="000F077B" w:rsidP="00686D5B">
      <w:pPr>
        <w:pStyle w:val="Metin"/>
        <w:numPr>
          <w:ilvl w:val="0"/>
          <w:numId w:val="10"/>
        </w:numPr>
        <w:tabs>
          <w:tab w:val="clear" w:pos="720"/>
          <w:tab w:val="num" w:pos="567"/>
        </w:tabs>
        <w:spacing w:after="0"/>
        <w:ind w:left="567" w:hanging="283"/>
      </w:pPr>
      <w:r>
        <w:rPr>
          <w:rStyle w:val="DipnotBavurusu"/>
        </w:rPr>
        <w:footnoteReference w:id="6"/>
      </w:r>
      <w:r>
        <w:t xml:space="preserve"> </w:t>
      </w:r>
      <w:r w:rsidRPr="000F077B">
        <w:t>Harcamaya ilişkin varlıkların kullanıma hazır hale getirilerek kullanılmaya başlanmış ve geçici kabul için Enerji ve Tabii Kaynaklar Bakanlığının (Bakanlık) veya yetkilendirdiği Kurum veya Kuruluşa ilgili uygulama yılının 31 Aralık tarihine kadar başvurması ve takip eden yılın 31 Mart tarihine kadar onaylatılmış olması, dağıtım şirketlerinin yetkisinde olan tesislerin ise uygulama yılının 31 Aralık tarihine kadar geçici kabulünün yapılarak onaylanmış olması</w:t>
      </w:r>
      <w:r w:rsidR="00EC5BF9" w:rsidRPr="00EE0DF3">
        <w:t>,</w:t>
      </w:r>
    </w:p>
    <w:p w:rsidR="00D61381" w:rsidRPr="00E346B5" w:rsidRDefault="00920A1B" w:rsidP="001C7390">
      <w:pPr>
        <w:pStyle w:val="Metin"/>
        <w:tabs>
          <w:tab w:val="num" w:pos="567"/>
        </w:tabs>
        <w:spacing w:after="0"/>
        <w:ind w:left="567" w:hanging="283"/>
      </w:pPr>
      <w:r w:rsidRPr="00E346B5">
        <w:t>ç)</w:t>
      </w:r>
      <w:r w:rsidR="001C7390" w:rsidRPr="00E346B5">
        <w:t xml:space="preserve"> </w:t>
      </w:r>
      <w:r w:rsidR="00D61381" w:rsidRPr="00E346B5">
        <w:t xml:space="preserve">Yapılan yatırımların mülkiyetinin kamuya ait </w:t>
      </w:r>
      <w:r w:rsidR="00C32674" w:rsidRPr="00E346B5">
        <w:t xml:space="preserve">veya kamu adına yapılmış olması yada </w:t>
      </w:r>
      <w:r w:rsidR="005F73BB" w:rsidRPr="00E346B5">
        <w:t>bu şartları sağlamasa da mevzuat gereği</w:t>
      </w:r>
      <w:r w:rsidR="00C32674" w:rsidRPr="00E346B5">
        <w:t xml:space="preserve"> yapılmış </w:t>
      </w:r>
      <w:r w:rsidR="00D61381" w:rsidRPr="00E346B5">
        <w:t xml:space="preserve">olması, </w:t>
      </w:r>
    </w:p>
    <w:p w:rsidR="004D6179" w:rsidRPr="00E346B5" w:rsidRDefault="004D6179" w:rsidP="005A507A">
      <w:pPr>
        <w:pStyle w:val="Metin"/>
        <w:numPr>
          <w:ilvl w:val="0"/>
          <w:numId w:val="10"/>
        </w:numPr>
        <w:tabs>
          <w:tab w:val="clear" w:pos="720"/>
          <w:tab w:val="num" w:pos="567"/>
        </w:tabs>
        <w:spacing w:after="0"/>
        <w:ind w:left="567" w:hanging="283"/>
      </w:pPr>
      <w:r w:rsidRPr="00E346B5">
        <w:t>K</w:t>
      </w:r>
      <w:r w:rsidR="00F05D43" w:rsidRPr="00E346B5">
        <w:t>ur farkı, vade farkı, faiz ve benzeri finansman gider</w:t>
      </w:r>
      <w:r w:rsidRPr="00E346B5">
        <w:t xml:space="preserve">lerin ayrıştırılmış olması, </w:t>
      </w:r>
    </w:p>
    <w:p w:rsidR="005A507A" w:rsidRPr="00E346B5" w:rsidRDefault="00C8449D" w:rsidP="005A507A">
      <w:pPr>
        <w:pStyle w:val="Metin"/>
        <w:numPr>
          <w:ilvl w:val="0"/>
          <w:numId w:val="10"/>
        </w:numPr>
        <w:tabs>
          <w:tab w:val="clear" w:pos="720"/>
          <w:tab w:val="num" w:pos="567"/>
        </w:tabs>
        <w:spacing w:after="0"/>
        <w:ind w:left="567" w:hanging="283"/>
      </w:pPr>
      <w:r w:rsidRPr="00E346B5">
        <w:t>Muhasebe kayıtlarına ve muhasebe kayıtlarına esas ispatlayıcı belgelere uygun olduğunun belgelenmesi,</w:t>
      </w:r>
      <w:r w:rsidR="00920A1B" w:rsidRPr="00E346B5">
        <w:t xml:space="preserve"> </w:t>
      </w:r>
    </w:p>
    <w:p w:rsidR="004B04CD" w:rsidRPr="00E346B5" w:rsidRDefault="005619D4" w:rsidP="005A507A">
      <w:pPr>
        <w:pStyle w:val="Metin"/>
        <w:numPr>
          <w:ilvl w:val="0"/>
          <w:numId w:val="10"/>
        </w:numPr>
        <w:tabs>
          <w:tab w:val="clear" w:pos="720"/>
          <w:tab w:val="num" w:pos="567"/>
        </w:tabs>
        <w:spacing w:after="0"/>
        <w:ind w:left="567" w:hanging="283"/>
      </w:pPr>
      <w:r w:rsidRPr="00E346B5">
        <w:t>Tebliğin 11 inci maddesinin beşinci fıkrası kapsamındaki varlıklar ile</w:t>
      </w:r>
      <w:r w:rsidR="00CC0F42" w:rsidRPr="00E346B5">
        <w:t xml:space="preserve"> amortismanı/itfası başlatılmış olan varlıkların kullanılması halinde, söz konusu varlıklara ilişkin b</w:t>
      </w:r>
      <w:r w:rsidR="005A507A" w:rsidRPr="00E346B5">
        <w:t>edellerin ayrıştırılmış olması,</w:t>
      </w:r>
    </w:p>
    <w:p w:rsidR="005A507A" w:rsidRPr="00E346B5" w:rsidRDefault="005A507A" w:rsidP="005A507A">
      <w:pPr>
        <w:pStyle w:val="Metin"/>
        <w:spacing w:after="0"/>
        <w:ind w:left="720"/>
      </w:pPr>
    </w:p>
    <w:p w:rsidR="00CD122A" w:rsidRPr="00E346B5" w:rsidRDefault="00CC0F42" w:rsidP="00E67773">
      <w:pPr>
        <w:pStyle w:val="Metin"/>
        <w:spacing w:after="0"/>
      </w:pPr>
      <w:r w:rsidRPr="00E346B5">
        <w:t xml:space="preserve">esasları çerçevesinde </w:t>
      </w:r>
      <w:r w:rsidR="006F58FD" w:rsidRPr="00E346B5">
        <w:t>ön kabulden geçmiş</w:t>
      </w:r>
      <w:r w:rsidRPr="00E346B5">
        <w:t xml:space="preserve"> yatırım harcaması olarak gelir düzenlemesi hesaplamalarında dikkate alınır.</w:t>
      </w:r>
    </w:p>
    <w:p w:rsidR="00CC0F42" w:rsidRPr="00E346B5" w:rsidRDefault="00CC0F42" w:rsidP="00E67773">
      <w:pPr>
        <w:pStyle w:val="Metin"/>
        <w:spacing w:after="0"/>
      </w:pPr>
    </w:p>
    <w:p w:rsidR="00FC588C" w:rsidRPr="00E346B5" w:rsidRDefault="00FC588C" w:rsidP="00FC588C">
      <w:pPr>
        <w:pStyle w:val="Metin"/>
        <w:spacing w:after="0"/>
        <w:rPr>
          <w:strike/>
        </w:rPr>
      </w:pPr>
      <w:r w:rsidRPr="00E346B5">
        <w:t xml:space="preserve">(2) Ön kabulden geçmiş yatırım harcamaları </w:t>
      </w:r>
      <w:r w:rsidR="00DF65B6" w:rsidRPr="00EE0DF3">
        <w:t>danışmanlık ile</w:t>
      </w:r>
      <w:r w:rsidR="00A1657F" w:rsidRPr="00EE0DF3">
        <w:t xml:space="preserve"> genel yönetim giderlerini</w:t>
      </w:r>
      <w:r w:rsidRPr="00EE0DF3">
        <w:t xml:space="preserve"> içermez.</w:t>
      </w:r>
      <w:r w:rsidRPr="00E346B5">
        <w:t xml:space="preserve"> </w:t>
      </w:r>
    </w:p>
    <w:p w:rsidR="00FC588C" w:rsidRPr="00E346B5" w:rsidRDefault="00FC588C" w:rsidP="00E67773">
      <w:pPr>
        <w:pStyle w:val="Metin"/>
        <w:spacing w:after="0"/>
      </w:pPr>
    </w:p>
    <w:p w:rsidR="00CC0F42" w:rsidRPr="00E346B5" w:rsidRDefault="00F3741C" w:rsidP="00E67773">
      <w:pPr>
        <w:pStyle w:val="Metin"/>
        <w:spacing w:after="0"/>
      </w:pPr>
      <w:r w:rsidRPr="00E346B5">
        <w:t>(</w:t>
      </w:r>
      <w:r w:rsidR="00FC588C" w:rsidRPr="00E346B5">
        <w:t>3</w:t>
      </w:r>
      <w:r w:rsidR="00CD122A" w:rsidRPr="00E346B5">
        <w:t xml:space="preserve">) </w:t>
      </w:r>
      <w:r w:rsidR="00427626" w:rsidRPr="00E346B5">
        <w:t>Birinci fıkrada yer alan esaslar haricindeki sebeplerle, yatırım harcamalarının ön kabulden geçmiş yatırım harcaması hesaplamalarında dikkate alınmasına ilişkin oluşabilecek tereddütleri gidermeye Kurul yetkilidir.</w:t>
      </w:r>
    </w:p>
    <w:p w:rsidR="00300E9C" w:rsidRPr="00E346B5" w:rsidRDefault="00300E9C" w:rsidP="00E67773">
      <w:pPr>
        <w:pStyle w:val="Metin"/>
        <w:spacing w:after="0"/>
      </w:pPr>
    </w:p>
    <w:p w:rsidR="00FC588C" w:rsidRPr="00E346B5" w:rsidRDefault="00FC588C" w:rsidP="00FC588C">
      <w:pPr>
        <w:pStyle w:val="Metin"/>
        <w:spacing w:after="0"/>
      </w:pPr>
      <w:r w:rsidRPr="00E346B5">
        <w:lastRenderedPageBreak/>
        <w:t>(4)</w:t>
      </w:r>
      <w:r w:rsidR="000F077B">
        <w:rPr>
          <w:rStyle w:val="DipnotBavurusu"/>
        </w:rPr>
        <w:footnoteReference w:id="7"/>
      </w:r>
      <w:r w:rsidRPr="00E346B5">
        <w:t xml:space="preserve"> </w:t>
      </w:r>
      <w:r w:rsidR="000F077B" w:rsidRPr="003F6BD9">
        <w:t xml:space="preserve">Bir harcamanın yatırım harcaması olarak değerlendirilebilmesi için önceden projelendirilerek (dağıtım </w:t>
      </w:r>
      <w:r w:rsidR="000F077B" w:rsidRPr="003F6BD9">
        <w:rPr>
          <w:spacing w:val="-2"/>
        </w:rPr>
        <w:t>tesisi</w:t>
      </w:r>
      <w:r w:rsidR="000F077B" w:rsidRPr="003F6BD9">
        <w:t xml:space="preserve"> için elektrik projesi, diğer yatırımlar için yatırım projesi) tesis edilmesini müteakip, kabulünün yapıl</w:t>
      </w:r>
      <w:r w:rsidR="000F077B">
        <w:t>arak aktifleştirilmesi esastır.</w:t>
      </w:r>
    </w:p>
    <w:p w:rsidR="00FC588C" w:rsidRPr="00E346B5" w:rsidRDefault="00FC588C" w:rsidP="00E67773">
      <w:pPr>
        <w:pStyle w:val="Metin"/>
        <w:spacing w:after="0"/>
      </w:pPr>
    </w:p>
    <w:p w:rsidR="005A507A" w:rsidRPr="00E346B5" w:rsidRDefault="005A507A" w:rsidP="005A507A">
      <w:pPr>
        <w:pStyle w:val="Metin"/>
        <w:spacing w:after="0"/>
      </w:pPr>
      <w:bookmarkStart w:id="1" w:name="_Toc22013599"/>
      <w:bookmarkStart w:id="2" w:name="_Toc22199311"/>
      <w:bookmarkStart w:id="3" w:name="_Toc22989052"/>
      <w:bookmarkStart w:id="4" w:name="_Toc410373702"/>
      <w:bookmarkStart w:id="5" w:name="_Toc411414445"/>
      <w:bookmarkStart w:id="6" w:name="_Toc415841088"/>
      <w:bookmarkStart w:id="7" w:name="_Toc415841996"/>
      <w:bookmarkStart w:id="8" w:name="_Toc418065391"/>
      <w:r w:rsidRPr="00EE0DF3">
        <w:t>(5)</w:t>
      </w:r>
      <w:r w:rsidR="000F077B">
        <w:rPr>
          <w:rStyle w:val="DipnotBavurusu"/>
        </w:rPr>
        <w:footnoteReference w:id="8"/>
      </w:r>
      <w:r w:rsidRPr="00EE0DF3">
        <w:t xml:space="preserve"> </w:t>
      </w:r>
      <w:r w:rsidR="000F077B" w:rsidRPr="003F6BD9">
        <w:t>Ön kabulden geçmiş yatırım harcamaları kapsamında yapılan yapım işleri ile mal ve hizmet alım ve satışlarının Elektrik Dağıtım Şirketlerinin Satın Alma-Satma ve İhale Prosedürlerinin Hazırlanması ve Uygulanması Yönetmeliği’ne uygun olarak yapılmış olması esastır.</w:t>
      </w:r>
    </w:p>
    <w:p w:rsidR="005A507A" w:rsidRPr="00E346B5" w:rsidRDefault="005A507A" w:rsidP="00FC588C">
      <w:pPr>
        <w:pStyle w:val="Metin"/>
        <w:spacing w:after="0"/>
      </w:pPr>
    </w:p>
    <w:p w:rsidR="00FC588C" w:rsidRPr="00E346B5" w:rsidRDefault="005A507A" w:rsidP="00FC588C">
      <w:pPr>
        <w:pStyle w:val="Metin"/>
        <w:spacing w:after="0"/>
      </w:pPr>
      <w:r w:rsidRPr="00E346B5">
        <w:t>(6</w:t>
      </w:r>
      <w:r w:rsidR="00FC588C" w:rsidRPr="00E346B5">
        <w:t>) Elektrik dağıtım şirketlerinin dağıtım faaliyeti ve/veya alt faaliyetin yürütülmesi için gerekli olan Şebeke Yatırımları ve Şebeke İşletim Sistemi Yatırımları kapsamındaki yatırım harcamaları, Sayaç yatırımları, Çevre, Güvenlik ve Diğer Yasal Zorunluluğu Olan Yatırımlar ile Yatırım Harcaması Niteliğindeki Diğer Yatırımlar kapsamındaki harcamalar bu Usul ve Esaslardaki şartları sağlamasını müteakip ön kabulden geçmiş yatırım harcaması olarak tarife hesaplamalarında dikkate alınır.</w:t>
      </w:r>
    </w:p>
    <w:p w:rsidR="005A507A" w:rsidRPr="00E346B5" w:rsidRDefault="005A507A" w:rsidP="00FC588C">
      <w:pPr>
        <w:pStyle w:val="Metin"/>
        <w:spacing w:after="0"/>
      </w:pPr>
    </w:p>
    <w:p w:rsidR="00920A1B" w:rsidRPr="00E346B5" w:rsidRDefault="00920A1B" w:rsidP="00351575">
      <w:pPr>
        <w:keepNext/>
        <w:spacing w:before="60"/>
        <w:jc w:val="both"/>
        <w:outlineLvl w:val="1"/>
        <w:rPr>
          <w:rFonts w:eastAsia="Times New Roman"/>
          <w:sz w:val="24"/>
          <w:szCs w:val="24"/>
          <w:vertAlign w:val="baseline"/>
          <w:lang w:eastAsia="en-US"/>
        </w:rPr>
      </w:pPr>
    </w:p>
    <w:bookmarkEnd w:id="1"/>
    <w:bookmarkEnd w:id="2"/>
    <w:bookmarkEnd w:id="3"/>
    <w:bookmarkEnd w:id="4"/>
    <w:bookmarkEnd w:id="5"/>
    <w:bookmarkEnd w:id="6"/>
    <w:bookmarkEnd w:id="7"/>
    <w:bookmarkEnd w:id="8"/>
    <w:p w:rsidR="00300E9C" w:rsidRPr="00E346B5" w:rsidRDefault="002C51FA" w:rsidP="00E67773">
      <w:pPr>
        <w:pStyle w:val="Metin"/>
        <w:spacing w:after="0"/>
        <w:rPr>
          <w:b/>
        </w:rPr>
      </w:pPr>
      <w:r w:rsidRPr="00E346B5">
        <w:rPr>
          <w:b/>
        </w:rPr>
        <w:t>ÜÇÜNCÜ</w:t>
      </w:r>
      <w:r w:rsidR="00300E9C" w:rsidRPr="00E346B5">
        <w:rPr>
          <w:b/>
        </w:rPr>
        <w:t xml:space="preserve"> KISIM</w:t>
      </w:r>
    </w:p>
    <w:p w:rsidR="00300E9C" w:rsidRPr="00E346B5" w:rsidRDefault="00300E9C" w:rsidP="00E67773">
      <w:pPr>
        <w:pStyle w:val="Metin"/>
        <w:spacing w:after="0"/>
        <w:rPr>
          <w:b/>
        </w:rPr>
      </w:pPr>
      <w:r w:rsidRPr="00E346B5">
        <w:rPr>
          <w:b/>
          <w:bCs/>
        </w:rPr>
        <w:t>Yatırım Planlaması</w:t>
      </w:r>
    </w:p>
    <w:p w:rsidR="00300E9C" w:rsidRPr="00E346B5" w:rsidRDefault="00300E9C" w:rsidP="00E67773">
      <w:pPr>
        <w:pStyle w:val="Metin"/>
        <w:spacing w:after="0"/>
      </w:pPr>
    </w:p>
    <w:p w:rsidR="00F54CF0" w:rsidRPr="00E346B5" w:rsidRDefault="00600240" w:rsidP="00E67773">
      <w:pPr>
        <w:pStyle w:val="Metin"/>
        <w:spacing w:after="0"/>
        <w:rPr>
          <w:b/>
        </w:rPr>
      </w:pPr>
      <w:r w:rsidRPr="00E346B5">
        <w:rPr>
          <w:b/>
        </w:rPr>
        <w:t>Yatırım planlarının onaylanması ve revizyonu</w:t>
      </w:r>
    </w:p>
    <w:p w:rsidR="00F54CF0" w:rsidRPr="00E346B5" w:rsidRDefault="003E248B" w:rsidP="00E67773">
      <w:pPr>
        <w:pStyle w:val="Metin"/>
        <w:spacing w:after="0"/>
      </w:pPr>
      <w:r w:rsidRPr="00E346B5">
        <w:rPr>
          <w:b/>
        </w:rPr>
        <w:t>Madde</w:t>
      </w:r>
      <w:r w:rsidR="00600240" w:rsidRPr="00E346B5">
        <w:rPr>
          <w:b/>
        </w:rPr>
        <w:t xml:space="preserve"> </w:t>
      </w:r>
      <w:r w:rsidRPr="00E346B5">
        <w:rPr>
          <w:b/>
        </w:rPr>
        <w:t>6</w:t>
      </w:r>
      <w:r w:rsidR="00F54CF0" w:rsidRPr="00E346B5">
        <w:rPr>
          <w:b/>
        </w:rPr>
        <w:t>-</w:t>
      </w:r>
      <w:r w:rsidR="00F54CF0" w:rsidRPr="00E346B5">
        <w:t xml:space="preserve"> (1) </w:t>
      </w:r>
      <w:r w:rsidR="00330CA7" w:rsidRPr="00E346B5">
        <w:t>Uygulama dönemi bazında y</w:t>
      </w:r>
      <w:r w:rsidR="00F54CF0" w:rsidRPr="00E346B5">
        <w:t>atırım planlarının onay yetkisi Kurula aittir. Kuru</w:t>
      </w:r>
      <w:r w:rsidR="00F50810" w:rsidRPr="00E346B5">
        <w:t>m</w:t>
      </w:r>
      <w:r w:rsidR="00F54CF0" w:rsidRPr="00E346B5">
        <w:t>, hizmetin verilmesini sağlayacak yatırımların teklif edilmemesi halinde talep eder</w:t>
      </w:r>
      <w:r w:rsidR="00F50810" w:rsidRPr="00E346B5">
        <w:t>, verilen süre içinde yatırım planı teklifi</w:t>
      </w:r>
      <w:r w:rsidR="00503BE1" w:rsidRPr="00E346B5">
        <w:t>nin dağıtım</w:t>
      </w:r>
      <w:r w:rsidR="00F50810" w:rsidRPr="00E346B5">
        <w:t xml:space="preserve"> şirket</w:t>
      </w:r>
      <w:r w:rsidR="00503BE1" w:rsidRPr="00E346B5">
        <w:t>i</w:t>
      </w:r>
      <w:r w:rsidR="00F50810" w:rsidRPr="00E346B5">
        <w:t xml:space="preserve"> tarafından belirtilen şekilde Kuruma sunulmaması halinde</w:t>
      </w:r>
      <w:r w:rsidR="001C7625" w:rsidRPr="00E346B5">
        <w:t xml:space="preserve">, ilgili dağıtım şirketi </w:t>
      </w:r>
      <w:r w:rsidR="00F50810" w:rsidRPr="00E346B5">
        <w:t xml:space="preserve">Kurum </w:t>
      </w:r>
      <w:r w:rsidR="001C7625" w:rsidRPr="00E346B5">
        <w:t>tarafından hazırlanarak Kurul tarafından onaylanan yatırım planına uymakla yükümlüdür.</w:t>
      </w:r>
    </w:p>
    <w:p w:rsidR="00F54CF0" w:rsidRPr="00E346B5" w:rsidRDefault="00F54CF0" w:rsidP="00E67773">
      <w:pPr>
        <w:pStyle w:val="md"/>
        <w:spacing w:before="0" w:beforeAutospacing="0" w:after="0" w:afterAutospacing="0"/>
        <w:jc w:val="both"/>
        <w:rPr>
          <w:lang w:eastAsia="en-US"/>
        </w:rPr>
      </w:pPr>
    </w:p>
    <w:p w:rsidR="00C15376" w:rsidRPr="00E346B5" w:rsidRDefault="00F54CF0" w:rsidP="00E67773">
      <w:pPr>
        <w:pStyle w:val="md"/>
        <w:spacing w:before="0" w:beforeAutospacing="0" w:after="0" w:afterAutospacing="0"/>
        <w:jc w:val="both"/>
      </w:pPr>
      <w:r w:rsidRPr="00E346B5">
        <w:rPr>
          <w:lang w:eastAsia="en-US"/>
        </w:rPr>
        <w:t>(2)</w:t>
      </w:r>
      <w:r w:rsidR="000F077B">
        <w:rPr>
          <w:rStyle w:val="DipnotBavurusu"/>
          <w:lang w:eastAsia="en-US"/>
        </w:rPr>
        <w:footnoteReference w:id="9"/>
      </w:r>
      <w:r w:rsidRPr="00E346B5">
        <w:rPr>
          <w:lang w:eastAsia="en-US"/>
        </w:rPr>
        <w:t xml:space="preserve"> </w:t>
      </w:r>
      <w:r w:rsidR="000F077B" w:rsidRPr="003F6BD9">
        <w:t>Uygulama dönemi içerisinde, onaylanmış toplam yatırım harcamasına ilişkin değişiklik yetkisi ile yatırım karakteristikleri arası bütçe revizyon yetkisi Kurula aittir. Dağıtım şirketleri değişiklik taleplerini</w:t>
      </w:r>
      <w:r w:rsidR="000F077B">
        <w:t xml:space="preserve"> gerekçeleriyle birlikte sunar.</w:t>
      </w:r>
    </w:p>
    <w:p w:rsidR="00C15376" w:rsidRDefault="00C15376" w:rsidP="00E67773">
      <w:pPr>
        <w:pStyle w:val="md"/>
        <w:spacing w:before="0" w:beforeAutospacing="0" w:after="0" w:afterAutospacing="0"/>
        <w:jc w:val="both"/>
      </w:pPr>
    </w:p>
    <w:p w:rsidR="000F077B" w:rsidRDefault="000F077B" w:rsidP="00E67773">
      <w:pPr>
        <w:pStyle w:val="md"/>
        <w:spacing w:before="0" w:beforeAutospacing="0" w:after="0" w:afterAutospacing="0"/>
        <w:jc w:val="both"/>
      </w:pPr>
      <w:r w:rsidRPr="003F6BD9">
        <w:t>(3)</w:t>
      </w:r>
      <w:r>
        <w:rPr>
          <w:rStyle w:val="DipnotBavurusu"/>
        </w:rPr>
        <w:footnoteReference w:id="10"/>
      </w:r>
      <w:r w:rsidRPr="003F6BD9">
        <w:t xml:space="preserve"> Bir uygulama dönemi içerisinde uygulama dönemi onaylı yatırım tavanının %5 fazlasını aşmamak şartıyla, onaylı uygulama dönemi yatırım karakteristiği tavanının %10 fazlasına kadar yapılan harcamalar Kurul onayına tabi değildir. Bu sınırları aşan bir harcama Kurul izni alınmadan yapılamaz, yapılması durumunda aşılan tutar </w:t>
      </w:r>
      <w:r w:rsidRPr="003F6BD9">
        <w:rPr>
          <w:bCs/>
        </w:rPr>
        <w:t xml:space="preserve">ön kabulden geçmiş </w:t>
      </w:r>
      <w:r w:rsidRPr="003F6BD9">
        <w:t>yatırım harcamaları hesaplamasında dikkate alınmaz.</w:t>
      </w:r>
    </w:p>
    <w:p w:rsidR="000F077B" w:rsidRPr="00E346B5" w:rsidRDefault="000F077B" w:rsidP="00E67773">
      <w:pPr>
        <w:pStyle w:val="md"/>
        <w:spacing w:before="0" w:beforeAutospacing="0" w:after="0" w:afterAutospacing="0"/>
        <w:jc w:val="both"/>
      </w:pPr>
    </w:p>
    <w:p w:rsidR="00360508" w:rsidRPr="00E346B5" w:rsidRDefault="00F54CF0" w:rsidP="00E67773">
      <w:pPr>
        <w:pStyle w:val="md"/>
        <w:spacing w:before="0" w:beforeAutospacing="0" w:after="0" w:afterAutospacing="0"/>
        <w:jc w:val="both"/>
      </w:pPr>
      <w:r w:rsidRPr="00E346B5">
        <w:rPr>
          <w:lang w:eastAsia="en-US"/>
        </w:rPr>
        <w:t>(</w:t>
      </w:r>
      <w:r w:rsidR="000F077B">
        <w:rPr>
          <w:lang w:eastAsia="en-US"/>
        </w:rPr>
        <w:t>4</w:t>
      </w:r>
      <w:r w:rsidRPr="00E346B5">
        <w:rPr>
          <w:lang w:eastAsia="en-US"/>
        </w:rPr>
        <w:t>)</w:t>
      </w:r>
      <w:r w:rsidR="000F077B">
        <w:rPr>
          <w:rStyle w:val="DipnotBavurusu"/>
          <w:lang w:eastAsia="en-US"/>
        </w:rPr>
        <w:footnoteReference w:id="11"/>
      </w:r>
      <w:r w:rsidRPr="00E346B5">
        <w:rPr>
          <w:lang w:eastAsia="en-US"/>
        </w:rPr>
        <w:t xml:space="preserve"> </w:t>
      </w:r>
      <w:r w:rsidR="00097200" w:rsidRPr="00E346B5">
        <w:rPr>
          <w:lang w:eastAsia="en-US"/>
        </w:rPr>
        <w:t>Ö</w:t>
      </w:r>
      <w:r w:rsidR="00CC0F42" w:rsidRPr="00E346B5">
        <w:t xml:space="preserve">ngörülen yıllık yatırım tutarları arasında Kuruma bildirimde bulunmak kaydıyla parasal aktarmalar yapılabilir. Yıllar arası </w:t>
      </w:r>
      <w:r w:rsidR="008B744C" w:rsidRPr="00E346B5">
        <w:t xml:space="preserve">parasal aktarmalar ve </w:t>
      </w:r>
      <w:r w:rsidR="000E3F1A" w:rsidRPr="00E346B5">
        <w:t xml:space="preserve">bu </w:t>
      </w:r>
      <w:r w:rsidR="00CC0F42" w:rsidRPr="00E346B5">
        <w:t>aktarmalardan</w:t>
      </w:r>
      <w:r w:rsidR="00505B7B" w:rsidRPr="00E346B5">
        <w:t xml:space="preserve"> kaynaklanan düzeltmeler,</w:t>
      </w:r>
      <w:r w:rsidR="00CC0F42" w:rsidRPr="00E346B5">
        <w:t xml:space="preserve"> Tebliğ</w:t>
      </w:r>
      <w:r w:rsidR="00505B7B" w:rsidRPr="00E346B5">
        <w:t xml:space="preserve"> hükümlerine</w:t>
      </w:r>
      <w:r w:rsidR="00CC0F42" w:rsidRPr="00E346B5">
        <w:t xml:space="preserve"> uygun olarak </w:t>
      </w:r>
      <w:r w:rsidR="00505B7B" w:rsidRPr="00E346B5">
        <w:t>yapıl</w:t>
      </w:r>
      <w:r w:rsidR="00CC0F42" w:rsidRPr="00E346B5">
        <w:t>ır.</w:t>
      </w:r>
    </w:p>
    <w:p w:rsidR="00A46325" w:rsidRPr="00E346B5" w:rsidRDefault="00A46325" w:rsidP="00E67773">
      <w:pPr>
        <w:pStyle w:val="Metin"/>
        <w:spacing w:after="0"/>
        <w:rPr>
          <w:b/>
        </w:rPr>
      </w:pPr>
    </w:p>
    <w:p w:rsidR="00A46325" w:rsidRPr="00E346B5" w:rsidRDefault="00A46325" w:rsidP="00E67773">
      <w:pPr>
        <w:pStyle w:val="Metin"/>
        <w:spacing w:after="0"/>
        <w:rPr>
          <w:b/>
        </w:rPr>
      </w:pPr>
      <w:r w:rsidRPr="00E346B5">
        <w:rPr>
          <w:b/>
        </w:rPr>
        <w:t xml:space="preserve">Yatırım planlarının </w:t>
      </w:r>
      <w:r w:rsidR="00300E9C" w:rsidRPr="00E346B5">
        <w:rPr>
          <w:b/>
        </w:rPr>
        <w:t>hazırlanması</w:t>
      </w:r>
    </w:p>
    <w:p w:rsidR="00327BBB" w:rsidRPr="00E346B5" w:rsidRDefault="003E248B" w:rsidP="00E67773">
      <w:pPr>
        <w:pStyle w:val="Metin"/>
        <w:spacing w:after="0"/>
      </w:pPr>
      <w:r w:rsidRPr="00E346B5">
        <w:rPr>
          <w:b/>
        </w:rPr>
        <w:t>Madde</w:t>
      </w:r>
      <w:r w:rsidR="00600240" w:rsidRPr="00E346B5">
        <w:rPr>
          <w:b/>
        </w:rPr>
        <w:t xml:space="preserve"> </w:t>
      </w:r>
      <w:r w:rsidRPr="00E346B5">
        <w:rPr>
          <w:b/>
        </w:rPr>
        <w:t>7</w:t>
      </w:r>
      <w:r w:rsidR="005761BE" w:rsidRPr="00E346B5">
        <w:rPr>
          <w:b/>
        </w:rPr>
        <w:t xml:space="preserve">- </w:t>
      </w:r>
      <w:r w:rsidR="00327BBB" w:rsidRPr="00E346B5">
        <w:t>(1)</w:t>
      </w:r>
      <w:r w:rsidR="000F077B">
        <w:rPr>
          <w:rStyle w:val="DipnotBavurusu"/>
        </w:rPr>
        <w:footnoteReference w:id="12"/>
      </w:r>
      <w:r w:rsidR="00327BBB" w:rsidRPr="00E346B5">
        <w:t xml:space="preserve"> </w:t>
      </w:r>
      <w:r w:rsidR="000F077B" w:rsidRPr="003F6BD9">
        <w:t xml:space="preserve">Bir sonraki uygulama dönemine ilişkin yatırım planları gelir düzenlemesi için belirlenen takvim çerçevesinde </w:t>
      </w:r>
      <w:r w:rsidR="000F077B">
        <w:t>B</w:t>
      </w:r>
      <w:r w:rsidR="000F077B" w:rsidRPr="003F6BD9">
        <w:t xml:space="preserve">ildirim </w:t>
      </w:r>
      <w:r w:rsidR="000F077B">
        <w:t>T</w:t>
      </w:r>
      <w:r w:rsidR="000F077B" w:rsidRPr="003F6BD9">
        <w:t xml:space="preserve">alimatında belirtilen sürede Kuruma sunulur. Bir </w:t>
      </w:r>
      <w:r w:rsidR="000F077B" w:rsidRPr="003F6BD9">
        <w:lastRenderedPageBreak/>
        <w:t>uygulama dönemi boyunca yapılması öngörülen yatırım tutarlarını içeren yatırım planı Kuruma bildirilir.</w:t>
      </w:r>
    </w:p>
    <w:p w:rsidR="00CC0F42" w:rsidRPr="00E346B5" w:rsidRDefault="00CC0F42" w:rsidP="00E67773">
      <w:pPr>
        <w:pStyle w:val="Metin"/>
        <w:spacing w:after="0"/>
      </w:pPr>
    </w:p>
    <w:p w:rsidR="00327BBB" w:rsidRPr="00E346B5" w:rsidRDefault="00327BBB" w:rsidP="00E67773">
      <w:pPr>
        <w:pStyle w:val="Metin"/>
        <w:spacing w:after="0"/>
      </w:pPr>
      <w:r w:rsidRPr="00E346B5">
        <w:t xml:space="preserve">(2) </w:t>
      </w:r>
      <w:r w:rsidR="00CC0F42" w:rsidRPr="00E346B5">
        <w:t xml:space="preserve">Gelir düzenlemesi kapsamında Kuruma </w:t>
      </w:r>
      <w:r w:rsidR="003E248B" w:rsidRPr="00E346B5">
        <w:t xml:space="preserve">bildirilen </w:t>
      </w:r>
      <w:r w:rsidR="00CC0F42" w:rsidRPr="00E346B5">
        <w:t xml:space="preserve">tablolardaki bilgilerden faydalanılarak ve Kurum tarafından gerekli çalışmalar yapılarak uygulama dönemi için </w:t>
      </w:r>
      <w:r w:rsidR="009C2D65" w:rsidRPr="00E346B5">
        <w:t>bir</w:t>
      </w:r>
      <w:r w:rsidR="00CC0F42" w:rsidRPr="00E346B5">
        <w:t>im bedeller belirlen</w:t>
      </w:r>
      <w:r w:rsidR="009C2D65" w:rsidRPr="00E346B5">
        <w:t xml:space="preserve">mesi halinde birim bedeller </w:t>
      </w:r>
      <w:r w:rsidR="00CC0F42" w:rsidRPr="00E346B5">
        <w:t>dağıtım şirket</w:t>
      </w:r>
      <w:r w:rsidR="009C2D65" w:rsidRPr="00E346B5">
        <w:t>leri</w:t>
      </w:r>
      <w:r w:rsidR="00CC0F42" w:rsidRPr="00E346B5">
        <w:t xml:space="preserve">ne bildirilir. </w:t>
      </w:r>
    </w:p>
    <w:p w:rsidR="00CC0F42" w:rsidRPr="00E346B5" w:rsidRDefault="00CC0F42" w:rsidP="00E67773">
      <w:pPr>
        <w:pStyle w:val="Metin"/>
        <w:spacing w:after="0"/>
      </w:pPr>
    </w:p>
    <w:p w:rsidR="00217EE9" w:rsidRPr="00E346B5" w:rsidRDefault="00327BBB" w:rsidP="00E67773">
      <w:pPr>
        <w:pStyle w:val="Metin"/>
        <w:spacing w:after="0"/>
      </w:pPr>
      <w:r w:rsidRPr="00E346B5">
        <w:t>(3)</w:t>
      </w:r>
      <w:r w:rsidR="000F077B">
        <w:rPr>
          <w:rStyle w:val="DipnotBavurusu"/>
        </w:rPr>
        <w:footnoteReference w:id="13"/>
      </w:r>
      <w:r w:rsidRPr="00E346B5">
        <w:t xml:space="preserve"> </w:t>
      </w:r>
      <w:r w:rsidR="000F077B" w:rsidRPr="003F6BD9">
        <w:t xml:space="preserve">Kurul tarafından onaylanmış yatırım planı çerçevesinde dağıtım şirketi tarafından mevzuata uygun olarak yapılacak yatırımlar, izlenmesi ve denetlenmesi amacıyla proje bazında </w:t>
      </w:r>
      <w:r w:rsidR="000F077B">
        <w:t>B</w:t>
      </w:r>
      <w:r w:rsidR="000F077B" w:rsidRPr="003F6BD9">
        <w:t xml:space="preserve">ildirim </w:t>
      </w:r>
      <w:r w:rsidR="000F077B">
        <w:t>T</w:t>
      </w:r>
      <w:r w:rsidR="000F077B" w:rsidRPr="003F6BD9">
        <w:t>alimatında belirtilen sürede Kuruma bildirilir. Bir takvim yılı içinde tamamlanamayan projeler yıllara sari proje olarak değerlendirilir.</w:t>
      </w:r>
      <w:r w:rsidR="000F077B">
        <w:t xml:space="preserve"> </w:t>
      </w:r>
    </w:p>
    <w:p w:rsidR="00327BBB" w:rsidRPr="00E346B5" w:rsidRDefault="00327BBB" w:rsidP="00E67773">
      <w:pPr>
        <w:pStyle w:val="Metin"/>
        <w:spacing w:after="0"/>
      </w:pPr>
    </w:p>
    <w:p w:rsidR="00B05151" w:rsidRPr="00E346B5" w:rsidRDefault="00330CA7" w:rsidP="00B05151">
      <w:pPr>
        <w:pStyle w:val="Metin"/>
        <w:spacing w:after="0"/>
      </w:pPr>
      <w:r w:rsidRPr="00E346B5">
        <w:t>(4)</w:t>
      </w:r>
      <w:r w:rsidR="000F077B">
        <w:rPr>
          <w:rStyle w:val="DipnotBavurusu"/>
        </w:rPr>
        <w:footnoteReference w:id="14"/>
      </w:r>
      <w:r w:rsidRPr="00E346B5">
        <w:t xml:space="preserve"> </w:t>
      </w:r>
      <w:r w:rsidR="000F077B" w:rsidRPr="003F6BD9">
        <w:t xml:space="preserve">Kurul tarafından onaylanmış yatırım planı çerçevesinde dağıtım şirketi tarafından bir sonraki yılın projelerine ait öngörülen harcama tutarı yatırım karakteristiği bazında </w:t>
      </w:r>
      <w:r w:rsidR="000F077B">
        <w:t>B</w:t>
      </w:r>
      <w:r w:rsidR="000F077B" w:rsidRPr="003F6BD9">
        <w:t xml:space="preserve">ildirim </w:t>
      </w:r>
      <w:r w:rsidR="000F077B">
        <w:t>T</w:t>
      </w:r>
      <w:r w:rsidR="000F077B" w:rsidRPr="003F6BD9">
        <w:t>alimatında belirtilen sürede Kuruma bildirilir.</w:t>
      </w:r>
      <w:r w:rsidR="00217EE9" w:rsidRPr="00E346B5">
        <w:t xml:space="preserve"> </w:t>
      </w:r>
    </w:p>
    <w:p w:rsidR="00ED4C35" w:rsidRPr="00E346B5" w:rsidRDefault="00ED4C35" w:rsidP="00E67773">
      <w:pPr>
        <w:pStyle w:val="Metin"/>
        <w:spacing w:after="0"/>
      </w:pPr>
    </w:p>
    <w:p w:rsidR="00CC0F42" w:rsidRPr="00E346B5" w:rsidRDefault="008E532F" w:rsidP="00E67773">
      <w:pPr>
        <w:pStyle w:val="Metin"/>
        <w:spacing w:after="0"/>
      </w:pPr>
      <w:r w:rsidRPr="00E346B5">
        <w:t>(5)</w:t>
      </w:r>
      <w:r w:rsidR="000F077B">
        <w:rPr>
          <w:rStyle w:val="DipnotBavurusu"/>
        </w:rPr>
        <w:footnoteReference w:id="15"/>
      </w:r>
      <w:r w:rsidRPr="00E346B5">
        <w:t xml:space="preserve"> </w:t>
      </w:r>
      <w:r w:rsidR="000F077B" w:rsidRPr="003F6BD9">
        <w:t xml:space="preserve">Yatırım planı çerçevesinde Kuruma bildirilen yatırım projelerine ilişkin yapılan değişiklikler üçer aylık dönemler halinde </w:t>
      </w:r>
      <w:r w:rsidR="000F077B">
        <w:t>B</w:t>
      </w:r>
      <w:r w:rsidR="000F077B" w:rsidRPr="003F6BD9">
        <w:t xml:space="preserve">ildirim </w:t>
      </w:r>
      <w:r w:rsidR="000F077B">
        <w:t>T</w:t>
      </w:r>
      <w:r w:rsidR="000F077B" w:rsidRPr="003F6BD9">
        <w:t>alimatında belirtilen sürede Kuruma bildirilir.</w:t>
      </w:r>
      <w:r w:rsidR="00CC0F42" w:rsidRPr="00E346B5">
        <w:t xml:space="preserve"> </w:t>
      </w:r>
    </w:p>
    <w:p w:rsidR="00CC0F42" w:rsidRPr="00E346B5" w:rsidRDefault="00CC0F42" w:rsidP="00E67773">
      <w:pPr>
        <w:pStyle w:val="Metin"/>
        <w:spacing w:after="0"/>
      </w:pPr>
    </w:p>
    <w:p w:rsidR="00A46325" w:rsidRPr="00E346B5" w:rsidRDefault="00A46325" w:rsidP="00E67773">
      <w:pPr>
        <w:pStyle w:val="Metin"/>
        <w:spacing w:after="0"/>
        <w:rPr>
          <w:b/>
        </w:rPr>
      </w:pPr>
      <w:r w:rsidRPr="00E346B5">
        <w:rPr>
          <w:b/>
        </w:rPr>
        <w:t>Yatırım</w:t>
      </w:r>
      <w:r w:rsidR="00300E9C" w:rsidRPr="00E346B5">
        <w:rPr>
          <w:b/>
        </w:rPr>
        <w:t xml:space="preserve"> planı esasları</w:t>
      </w:r>
    </w:p>
    <w:p w:rsidR="0026612A" w:rsidRPr="00E346B5" w:rsidRDefault="003E248B" w:rsidP="00E67773">
      <w:pPr>
        <w:pStyle w:val="Metin"/>
        <w:spacing w:after="0"/>
      </w:pPr>
      <w:r w:rsidRPr="00E346B5">
        <w:rPr>
          <w:b/>
        </w:rPr>
        <w:t>Madde</w:t>
      </w:r>
      <w:r w:rsidR="00600240" w:rsidRPr="00E346B5">
        <w:rPr>
          <w:b/>
        </w:rPr>
        <w:t xml:space="preserve"> </w:t>
      </w:r>
      <w:r w:rsidRPr="00E346B5">
        <w:rPr>
          <w:b/>
        </w:rPr>
        <w:t>8</w:t>
      </w:r>
      <w:r w:rsidR="00F3741C" w:rsidRPr="00E346B5">
        <w:rPr>
          <w:b/>
        </w:rPr>
        <w:t>-</w:t>
      </w:r>
      <w:r w:rsidR="00F3741C" w:rsidRPr="00E346B5">
        <w:t xml:space="preserve"> (1)</w:t>
      </w:r>
      <w:r w:rsidR="0026612A" w:rsidRPr="00E346B5">
        <w:t xml:space="preserve"> </w:t>
      </w:r>
      <w:r w:rsidR="00CC0F42" w:rsidRPr="00E346B5">
        <w:t>Yatırım yapılan varlığın özellikleri ve yatırım gerekçesine göre dağıtım sistemi yatırım plan</w:t>
      </w:r>
      <w:r w:rsidR="00975BC7" w:rsidRPr="00E346B5">
        <w:t>ı</w:t>
      </w:r>
      <w:r w:rsidR="00ED4C35" w:rsidRPr="00E346B5">
        <w:t>,</w:t>
      </w:r>
      <w:r w:rsidR="00975BC7" w:rsidRPr="00E346B5">
        <w:t xml:space="preserve"> </w:t>
      </w:r>
      <w:r w:rsidR="0051027F" w:rsidRPr="00E346B5">
        <w:t xml:space="preserve">Kuruma </w:t>
      </w:r>
      <w:r w:rsidRPr="00E346B5">
        <w:t>bildirilen</w:t>
      </w:r>
      <w:r w:rsidR="0051027F" w:rsidRPr="00E346B5">
        <w:t xml:space="preserve"> </w:t>
      </w:r>
      <w:r w:rsidR="00CC0F42" w:rsidRPr="00E346B5">
        <w:t>yatırım karakteristikleri</w:t>
      </w:r>
      <w:r w:rsidR="0006171C" w:rsidRPr="00E346B5">
        <w:t>ne</w:t>
      </w:r>
      <w:r w:rsidR="00CC0F42" w:rsidRPr="00E346B5">
        <w:t xml:space="preserve"> ilişkin yatırım harcamaları</w:t>
      </w:r>
      <w:r w:rsidR="0051027F" w:rsidRPr="00E346B5">
        <w:t xml:space="preserve"> tahminlerinden </w:t>
      </w:r>
      <w:r w:rsidR="00CC0F42" w:rsidRPr="00E346B5">
        <w:t>oluşur.</w:t>
      </w:r>
    </w:p>
    <w:p w:rsidR="00CC0F42" w:rsidRPr="00E346B5" w:rsidRDefault="00CC0F42" w:rsidP="00E67773">
      <w:pPr>
        <w:pStyle w:val="Metin"/>
        <w:spacing w:after="0"/>
      </w:pPr>
    </w:p>
    <w:p w:rsidR="00F3741C" w:rsidRPr="00E346B5" w:rsidRDefault="00F3741C" w:rsidP="00E67773">
      <w:pPr>
        <w:pStyle w:val="Metin"/>
        <w:spacing w:after="0"/>
      </w:pPr>
      <w:r w:rsidRPr="00E346B5">
        <w:t xml:space="preserve">(2) </w:t>
      </w:r>
      <w:r w:rsidR="00CC0F42" w:rsidRPr="00E346B5">
        <w:t>Dağıtım şirketleri yatırım planları ile birlikte</w:t>
      </w:r>
      <w:r w:rsidR="0014167D" w:rsidRPr="00E346B5">
        <w:t>,</w:t>
      </w:r>
      <w:r w:rsidR="00CC0F42" w:rsidRPr="00E346B5">
        <w:t xml:space="preserve"> </w:t>
      </w:r>
      <w:r w:rsidR="001D2AF2" w:rsidRPr="00E346B5">
        <w:t>dağıtım sistemi 5</w:t>
      </w:r>
      <w:r w:rsidR="0006171C" w:rsidRPr="00E346B5">
        <w:t xml:space="preserve"> (kısa)</w:t>
      </w:r>
      <w:r w:rsidR="00150EB5" w:rsidRPr="00E346B5">
        <w:t xml:space="preserve"> ve</w:t>
      </w:r>
      <w:r w:rsidR="001D2AF2" w:rsidRPr="00E346B5">
        <w:t xml:space="preserve"> 10</w:t>
      </w:r>
      <w:r w:rsidR="0006171C" w:rsidRPr="00E346B5">
        <w:t xml:space="preserve"> (orta) </w:t>
      </w:r>
      <w:r w:rsidR="001D2AF2" w:rsidRPr="00E346B5">
        <w:t>yıllık master p</w:t>
      </w:r>
      <w:r w:rsidR="00CC0F42" w:rsidRPr="00E346B5">
        <w:t>lanları v</w:t>
      </w:r>
      <w:r w:rsidR="00336C3A" w:rsidRPr="00E346B5">
        <w:t>e yatırım gerekçelerini Kuruma s</w:t>
      </w:r>
      <w:r w:rsidR="00CC0F42" w:rsidRPr="00E346B5">
        <w:t>unar.</w:t>
      </w:r>
    </w:p>
    <w:p w:rsidR="00CC0F42" w:rsidRPr="00E346B5" w:rsidRDefault="00CC0F42" w:rsidP="00E67773">
      <w:pPr>
        <w:pStyle w:val="Metin"/>
        <w:spacing w:after="0"/>
      </w:pPr>
    </w:p>
    <w:p w:rsidR="00CC0F42" w:rsidRPr="00E346B5" w:rsidRDefault="00F54CF0" w:rsidP="00E67773">
      <w:pPr>
        <w:pStyle w:val="Metin"/>
        <w:spacing w:after="0"/>
      </w:pPr>
      <w:r w:rsidRPr="00E346B5">
        <w:t xml:space="preserve">(3) </w:t>
      </w:r>
      <w:r w:rsidR="00CC0F42" w:rsidRPr="00E346B5">
        <w:t xml:space="preserve">Yatırım planları kapsamında yapılacak olan yatırımlarda ilgili mevzuat kapsamında; </w:t>
      </w:r>
      <w:r w:rsidR="00CC0F42" w:rsidRPr="00E346B5">
        <w:br/>
      </w:r>
    </w:p>
    <w:p w:rsidR="00B85B92" w:rsidRPr="00E346B5" w:rsidRDefault="00CC0F42" w:rsidP="00E2071D">
      <w:pPr>
        <w:pStyle w:val="Metin"/>
        <w:numPr>
          <w:ilvl w:val="0"/>
          <w:numId w:val="22"/>
        </w:numPr>
        <w:spacing w:after="0"/>
      </w:pPr>
      <w:r w:rsidRPr="00E346B5">
        <w:t>Can ve mal güvenliğine,</w:t>
      </w:r>
    </w:p>
    <w:p w:rsidR="00CC0F42" w:rsidRPr="00E346B5" w:rsidRDefault="00CC0F42" w:rsidP="00E07716">
      <w:pPr>
        <w:pStyle w:val="Metin"/>
        <w:numPr>
          <w:ilvl w:val="0"/>
          <w:numId w:val="22"/>
        </w:numPr>
        <w:spacing w:after="0"/>
      </w:pPr>
      <w:r w:rsidRPr="00E346B5">
        <w:t>Tedarik sürekliliği ve teknik kaliteye,</w:t>
      </w:r>
    </w:p>
    <w:p w:rsidR="00CC0F42" w:rsidRPr="00E346B5" w:rsidRDefault="00CC0F42" w:rsidP="00E07716">
      <w:pPr>
        <w:pStyle w:val="Metin"/>
        <w:numPr>
          <w:ilvl w:val="0"/>
          <w:numId w:val="22"/>
        </w:numPr>
        <w:spacing w:after="0"/>
      </w:pPr>
      <w:r w:rsidRPr="00E346B5">
        <w:t>Dağıtım sistemine bağlantı taleplerine,</w:t>
      </w:r>
    </w:p>
    <w:p w:rsidR="00FE6E66" w:rsidRPr="00E346B5" w:rsidRDefault="00CC0F42" w:rsidP="00E67773">
      <w:pPr>
        <w:pStyle w:val="Metin"/>
        <w:spacing w:after="0"/>
      </w:pPr>
      <w:r w:rsidRPr="00E346B5">
        <w:br/>
        <w:t>ilişkin yatırımlara öncelik verilir.</w:t>
      </w:r>
    </w:p>
    <w:p w:rsidR="00C7385B" w:rsidRPr="00E346B5" w:rsidRDefault="00C7385B" w:rsidP="00E67773">
      <w:pPr>
        <w:pStyle w:val="Metin"/>
        <w:spacing w:after="0"/>
      </w:pPr>
    </w:p>
    <w:p w:rsidR="00AF23DC" w:rsidRPr="00E346B5" w:rsidRDefault="001F773B" w:rsidP="00E67773">
      <w:pPr>
        <w:pStyle w:val="Metin"/>
        <w:spacing w:after="0"/>
      </w:pPr>
      <w:r w:rsidRPr="00E346B5">
        <w:t xml:space="preserve">(4) </w:t>
      </w:r>
      <w:r w:rsidR="00A207D2" w:rsidRPr="00E346B5">
        <w:t xml:space="preserve">Uygulama dönemi içerisindeki onaylı yatırım planları kapsamında dağıtım şirketi tarafından planlaması yapılarak </w:t>
      </w:r>
      <w:r w:rsidR="00C5464E" w:rsidRPr="00E346B5">
        <w:t xml:space="preserve">Kuruma </w:t>
      </w:r>
      <w:r w:rsidR="00825B85" w:rsidRPr="00E346B5">
        <w:t>bildirilen</w:t>
      </w:r>
      <w:r w:rsidR="007B7366" w:rsidRPr="00E346B5">
        <w:t xml:space="preserve"> p</w:t>
      </w:r>
      <w:r w:rsidR="0017083D" w:rsidRPr="00E346B5">
        <w:t xml:space="preserve">rojelerin </w:t>
      </w:r>
      <w:r w:rsidR="00A207D2" w:rsidRPr="00E346B5">
        <w:t xml:space="preserve">uygulama dönemi </w:t>
      </w:r>
      <w:r w:rsidR="00D2424C" w:rsidRPr="00E346B5">
        <w:t>içerisinde bitirilmesi esas</w:t>
      </w:r>
      <w:r w:rsidRPr="00E346B5">
        <w:t>tır.</w:t>
      </w:r>
      <w:r w:rsidR="00952AD3" w:rsidRPr="00E346B5">
        <w:t xml:space="preserve"> </w:t>
      </w:r>
    </w:p>
    <w:p w:rsidR="00AF23DC" w:rsidRPr="00E346B5" w:rsidRDefault="00AF23DC" w:rsidP="00E67773">
      <w:pPr>
        <w:pStyle w:val="Metin"/>
        <w:spacing w:after="0"/>
      </w:pPr>
    </w:p>
    <w:p w:rsidR="00FD7ABC" w:rsidRPr="00E346B5" w:rsidRDefault="00FD7ABC" w:rsidP="00FD7ABC">
      <w:pPr>
        <w:pStyle w:val="Metin"/>
        <w:spacing w:after="0"/>
      </w:pPr>
      <w:r w:rsidRPr="00E346B5">
        <w:t>(5)</w:t>
      </w:r>
      <w:r w:rsidR="000F077B">
        <w:rPr>
          <w:rStyle w:val="DipnotBavurusu"/>
        </w:rPr>
        <w:footnoteReference w:id="16"/>
      </w:r>
      <w:r w:rsidRPr="00E346B5">
        <w:t xml:space="preserve"> </w:t>
      </w:r>
      <w:r w:rsidR="000F077B" w:rsidRPr="003F6BD9">
        <w:t xml:space="preserve">Uygulama dönemi son yılına ait “Dağıtım Sistemi Yatırım Tahmin Bildirimi”nde yer alan ancak ilgili uygulama dönemi içerisinde bitirilemeyen projeler, projenin başladığı yılın ait olduğu uygulama döneminin sona ermesini müteakip “Dağıtım Sistemi Yatırım Uygulama Dönemi İçerisinde Bitirilemeyen Projeler Bildirimi” kapsamında </w:t>
      </w:r>
      <w:r w:rsidR="000F077B">
        <w:t>B</w:t>
      </w:r>
      <w:r w:rsidR="000F077B" w:rsidRPr="003F6BD9">
        <w:t xml:space="preserve">ildirim </w:t>
      </w:r>
      <w:r w:rsidR="000F077B">
        <w:t>T</w:t>
      </w:r>
      <w:r w:rsidR="000F077B" w:rsidRPr="003F6BD9">
        <w:t xml:space="preserve">alimatında belirtilen sürede Kuruma bildirilir. Bu projelerin başladığı yılın ait olduğu uygulama dönemi onaylı yatırım harcaması tavanından, ilgili uygulama döneminde gerçekleştirilemeyen  tutar kalması durumunda, bu projelere ait toplam proje tutarının (ilgili projelere başlanmasından bitirilmesine kadarki </w:t>
      </w:r>
      <w:r w:rsidR="000F077B" w:rsidRPr="003F6BD9">
        <w:lastRenderedPageBreak/>
        <w:t xml:space="preserve">toplam tutar) azami olarak yatırım tavanından gerçekleştirilemeyen tutar kadarı müteakip uygulama dönemi yatırım tavanına ilave edilir. Bu projelere ait harcamalar bir sonraki uygulama döneminde, 5 inci maddenin birinci fıkrasında belirtilen şartları sağlamasını müteakip Özel Maliyetler Hesabına aktarıldığı yıla ait yatırım harcaması olarak değerlendirilir. “Dağıtım Sistemi Yatırım Uygulama Dönemi İçerisinde Bitirilemeyen Projeler Bildirimi” kapsamında </w:t>
      </w:r>
      <w:r w:rsidR="000F077B">
        <w:t>B</w:t>
      </w:r>
      <w:r w:rsidR="000F077B" w:rsidRPr="003F6BD9">
        <w:t xml:space="preserve">ildirim </w:t>
      </w:r>
      <w:r w:rsidR="000F077B">
        <w:t>T</w:t>
      </w:r>
      <w:r w:rsidR="000F077B" w:rsidRPr="003F6BD9">
        <w:t xml:space="preserve">alimatında belirtilen sürede bildirilen </w:t>
      </w:r>
      <w:r w:rsidR="000F077B">
        <w:t xml:space="preserve">projeler için, ilgili </w:t>
      </w:r>
      <w:r w:rsidR="000F077B" w:rsidRPr="003F6BD9">
        <w:t>projelerin toplam tutarının %5 fazlasına kadar olan harcamalar ön kabulden geçmiş yatırım harcaması olarak değerlendirilir.</w:t>
      </w:r>
      <w:r w:rsidRPr="00E346B5">
        <w:t xml:space="preserve"> </w:t>
      </w:r>
    </w:p>
    <w:p w:rsidR="0006171C" w:rsidRPr="00E346B5" w:rsidRDefault="0006171C" w:rsidP="00E67773">
      <w:pPr>
        <w:pStyle w:val="Metin"/>
        <w:spacing w:after="0"/>
      </w:pPr>
    </w:p>
    <w:p w:rsidR="0006171C" w:rsidRPr="00E346B5" w:rsidRDefault="0006171C" w:rsidP="0006171C">
      <w:pPr>
        <w:pStyle w:val="Metin"/>
        <w:spacing w:after="0"/>
        <w:rPr>
          <w:b/>
        </w:rPr>
      </w:pPr>
      <w:r w:rsidRPr="00E346B5">
        <w:rPr>
          <w:b/>
        </w:rPr>
        <w:t>Master plan esasları</w:t>
      </w:r>
    </w:p>
    <w:p w:rsidR="00CF689B" w:rsidRPr="00E346B5" w:rsidRDefault="00301D69" w:rsidP="00CF689B">
      <w:pPr>
        <w:pStyle w:val="Metin"/>
        <w:spacing w:after="0"/>
      </w:pPr>
      <w:r w:rsidRPr="00E346B5">
        <w:rPr>
          <w:b/>
        </w:rPr>
        <w:t>Madde</w:t>
      </w:r>
      <w:r w:rsidR="0006171C" w:rsidRPr="00E346B5">
        <w:rPr>
          <w:b/>
        </w:rPr>
        <w:t xml:space="preserve"> </w:t>
      </w:r>
      <w:r w:rsidRPr="00E346B5">
        <w:rPr>
          <w:b/>
        </w:rPr>
        <w:t>9</w:t>
      </w:r>
      <w:r w:rsidR="0006171C" w:rsidRPr="00E346B5">
        <w:rPr>
          <w:b/>
        </w:rPr>
        <w:t>-</w:t>
      </w:r>
      <w:r w:rsidR="0006171C" w:rsidRPr="00E346B5">
        <w:t xml:space="preserve"> (1) </w:t>
      </w:r>
      <w:r w:rsidR="0014167D" w:rsidRPr="00E346B5">
        <w:t>Master plan, b</w:t>
      </w:r>
      <w:r w:rsidR="00CF689B" w:rsidRPr="00E346B5">
        <w:t xml:space="preserve">ir dağıtım sisteminin gelecekte karşılaşılabilecek sorunlarını, talep-arz dengesizliğini, </w:t>
      </w:r>
      <w:r w:rsidR="00E36290" w:rsidRPr="00E346B5">
        <w:t>genişlemesini</w:t>
      </w:r>
      <w:r w:rsidR="00CF689B" w:rsidRPr="00E346B5">
        <w:t xml:space="preserve"> veya </w:t>
      </w:r>
      <w:r w:rsidR="00D63A37" w:rsidRPr="00E346B5">
        <w:t>daralmasını</w:t>
      </w:r>
      <w:r w:rsidR="003541BD" w:rsidRPr="00E346B5">
        <w:t xml:space="preserve"> öngörecek</w:t>
      </w:r>
      <w:r w:rsidR="00CF689B" w:rsidRPr="00E346B5">
        <w:t xml:space="preserve"> şekilde kısa</w:t>
      </w:r>
      <w:r w:rsidR="008E4501" w:rsidRPr="00E346B5">
        <w:t xml:space="preserve"> ve</w:t>
      </w:r>
      <w:r w:rsidR="00A86C4D" w:rsidRPr="00E346B5">
        <w:t xml:space="preserve"> orta dönem olarak 5 ve 1</w:t>
      </w:r>
      <w:r w:rsidR="00CF689B" w:rsidRPr="00E346B5">
        <w:t xml:space="preserve">0 yıllık planlama ile acil eylem stratejilerinin </w:t>
      </w:r>
      <w:r w:rsidR="00384902" w:rsidRPr="00E346B5">
        <w:t xml:space="preserve">belirlenmesi amacıyla, tedarik sürekliliği, teknik ve ticari kalite parametrelerinin geliştirilmesi, müşterilere sunulan ve sunulacak hizmet kalitesinin artırılması amacıyla talep tahmini ve bölgesel gelişim parametrelerinden yararlanılarak </w:t>
      </w:r>
      <w:r w:rsidR="0014167D" w:rsidRPr="00E346B5">
        <w:t>hazırlanır</w:t>
      </w:r>
      <w:r w:rsidR="00CF689B" w:rsidRPr="00E346B5">
        <w:t xml:space="preserve">. </w:t>
      </w:r>
    </w:p>
    <w:p w:rsidR="00CF689B" w:rsidRPr="00E346B5" w:rsidRDefault="00CF689B" w:rsidP="00CF689B">
      <w:pPr>
        <w:pStyle w:val="Metin"/>
        <w:spacing w:after="0"/>
      </w:pPr>
    </w:p>
    <w:p w:rsidR="00CF689B" w:rsidRPr="00E346B5" w:rsidRDefault="00CF689B" w:rsidP="00CF689B">
      <w:pPr>
        <w:pStyle w:val="Metin"/>
        <w:spacing w:after="0"/>
      </w:pPr>
      <w:r w:rsidRPr="00E346B5">
        <w:t xml:space="preserve">(2) </w:t>
      </w:r>
      <w:r w:rsidR="0014167D" w:rsidRPr="00E346B5">
        <w:t xml:space="preserve">Master </w:t>
      </w:r>
      <w:r w:rsidRPr="00E346B5">
        <w:t xml:space="preserve">plana uygun olarak </w:t>
      </w:r>
      <w:r w:rsidR="0014167D" w:rsidRPr="00E346B5">
        <w:t>öngörülen yatırım ihtiyaçları ilgili</w:t>
      </w:r>
      <w:r w:rsidRPr="00E346B5">
        <w:t xml:space="preserve"> proje</w:t>
      </w:r>
      <w:r w:rsidR="0014167D" w:rsidRPr="00E346B5">
        <w:t>lerde detaylandırılır</w:t>
      </w:r>
      <w:r w:rsidRPr="00E346B5">
        <w:t>. 5 yıllık master</w:t>
      </w:r>
      <w:r w:rsidR="00681854" w:rsidRPr="00E346B5">
        <w:t xml:space="preserve"> </w:t>
      </w:r>
      <w:r w:rsidRPr="00E346B5">
        <w:t>planlar</w:t>
      </w:r>
      <w:r w:rsidR="00681854" w:rsidRPr="00E346B5">
        <w:t xml:space="preserve"> </w:t>
      </w:r>
      <w:r w:rsidR="0014167D" w:rsidRPr="00E346B5">
        <w:t>kapsamındaki</w:t>
      </w:r>
      <w:r w:rsidRPr="00E346B5">
        <w:t xml:space="preserve"> projeleri</w:t>
      </w:r>
      <w:r w:rsidR="0014167D" w:rsidRPr="00E346B5">
        <w:t>n</w:t>
      </w:r>
      <w:r w:rsidRPr="00E346B5">
        <w:t xml:space="preserve"> ana hatları</w:t>
      </w:r>
      <w:r w:rsidR="0014167D" w:rsidRPr="00E346B5">
        <w:t xml:space="preserve"> planlama aşamasında</w:t>
      </w:r>
      <w:r w:rsidRPr="00E346B5">
        <w:t xml:space="preserve"> </w:t>
      </w:r>
      <w:r w:rsidR="0014167D" w:rsidRPr="00E346B5">
        <w:t>tanımlanır</w:t>
      </w:r>
      <w:r w:rsidRPr="00E346B5">
        <w:t>.</w:t>
      </w:r>
    </w:p>
    <w:p w:rsidR="00CF689B" w:rsidRPr="00E346B5" w:rsidRDefault="00CF689B" w:rsidP="00CF689B">
      <w:pPr>
        <w:pStyle w:val="Metin"/>
        <w:spacing w:after="0"/>
      </w:pPr>
    </w:p>
    <w:p w:rsidR="00CF689B" w:rsidRPr="00E346B5" w:rsidRDefault="00CF689B" w:rsidP="00CF689B">
      <w:pPr>
        <w:pStyle w:val="Metin"/>
        <w:spacing w:after="0"/>
      </w:pPr>
      <w:r w:rsidRPr="00E346B5">
        <w:t xml:space="preserve">(3) </w:t>
      </w:r>
      <w:r w:rsidR="00A715D7" w:rsidRPr="00E346B5">
        <w:t>Master plan</w:t>
      </w:r>
      <w:r w:rsidR="00F71A71" w:rsidRPr="00E346B5">
        <w:t xml:space="preserve"> aşağıdaki kriterlere göre hazırlan</w:t>
      </w:r>
      <w:r w:rsidR="0014167D" w:rsidRPr="00E346B5">
        <w:t>ır:</w:t>
      </w:r>
      <w:r w:rsidRPr="00E346B5">
        <w:t xml:space="preserve"> </w:t>
      </w:r>
    </w:p>
    <w:p w:rsidR="00CF689B" w:rsidRPr="00E346B5" w:rsidRDefault="00CF689B" w:rsidP="00CF689B">
      <w:pPr>
        <w:pStyle w:val="Metin"/>
        <w:spacing w:after="0"/>
      </w:pPr>
    </w:p>
    <w:p w:rsidR="00CF689B" w:rsidRPr="00E346B5" w:rsidRDefault="00CF689B" w:rsidP="00A715D7">
      <w:pPr>
        <w:pStyle w:val="Metin"/>
        <w:numPr>
          <w:ilvl w:val="0"/>
          <w:numId w:val="25"/>
        </w:numPr>
        <w:spacing w:after="0"/>
      </w:pPr>
      <w:r w:rsidRPr="00E346B5">
        <w:t>Mevcut şebeke</w:t>
      </w:r>
      <w:r w:rsidR="002F3E21" w:rsidRPr="00E346B5">
        <w:t xml:space="preserve">nin durumuna </w:t>
      </w:r>
      <w:r w:rsidRPr="00E346B5">
        <w:t>ve nitelikleri</w:t>
      </w:r>
      <w:r w:rsidR="00A715D7" w:rsidRPr="00E346B5">
        <w:t>n</w:t>
      </w:r>
      <w:r w:rsidR="002F3E21" w:rsidRPr="00E346B5">
        <w:t>e uygun olmalıdır.</w:t>
      </w:r>
    </w:p>
    <w:p w:rsidR="00CF689B" w:rsidRPr="00E346B5" w:rsidRDefault="00CF689B" w:rsidP="00CF689B">
      <w:pPr>
        <w:pStyle w:val="Metin"/>
        <w:numPr>
          <w:ilvl w:val="0"/>
          <w:numId w:val="25"/>
        </w:numPr>
        <w:spacing w:after="0"/>
      </w:pPr>
      <w:r w:rsidRPr="00E346B5">
        <w:t>T</w:t>
      </w:r>
      <w:r w:rsidR="006D296C" w:rsidRPr="00E346B5">
        <w:t xml:space="preserve">ürkiye </w:t>
      </w:r>
      <w:r w:rsidRPr="00E346B5">
        <w:t>İ</w:t>
      </w:r>
      <w:r w:rsidR="006D296C" w:rsidRPr="00E346B5">
        <w:t xml:space="preserve">statistik </w:t>
      </w:r>
      <w:r w:rsidRPr="00E346B5">
        <w:t>K</w:t>
      </w:r>
      <w:r w:rsidR="006D296C" w:rsidRPr="00E346B5">
        <w:t>urumu</w:t>
      </w:r>
      <w:r w:rsidRPr="00E346B5">
        <w:t xml:space="preserve"> nüfus, tüketim, gelişme, gayri safi milli hasıla gibi enerji tüketim</w:t>
      </w:r>
      <w:r w:rsidR="006D296C" w:rsidRPr="00E346B5">
        <w:t>ini ve</w:t>
      </w:r>
      <w:r w:rsidRPr="00E346B5">
        <w:t xml:space="preserve"> üretimi</w:t>
      </w:r>
      <w:r w:rsidR="006D296C" w:rsidRPr="00E346B5">
        <w:t>ni</w:t>
      </w:r>
      <w:r w:rsidRPr="00E346B5">
        <w:t xml:space="preserve"> etkileyebilecek değerler</w:t>
      </w:r>
      <w:r w:rsidR="006D296C" w:rsidRPr="00E346B5">
        <w:t>i</w:t>
      </w:r>
      <w:r w:rsidRPr="00E346B5">
        <w:t xml:space="preserve"> ve </w:t>
      </w:r>
      <w:r w:rsidR="006D296C" w:rsidRPr="00E346B5">
        <w:t xml:space="preserve">bunların olası </w:t>
      </w:r>
      <w:r w:rsidRPr="00E346B5">
        <w:t>değişimleri</w:t>
      </w:r>
      <w:r w:rsidR="00A715D7" w:rsidRPr="00E346B5">
        <w:t>n</w:t>
      </w:r>
      <w:r w:rsidR="006D296C" w:rsidRPr="00E346B5">
        <w:t>in</w:t>
      </w:r>
      <w:r w:rsidR="00A715D7" w:rsidRPr="00E346B5">
        <w:t xml:space="preserve"> etkisini</w:t>
      </w:r>
      <w:r w:rsidRPr="00E346B5">
        <w:t xml:space="preserve"> </w:t>
      </w:r>
      <w:r w:rsidR="00A715D7" w:rsidRPr="00E346B5">
        <w:t>içermeli</w:t>
      </w:r>
      <w:r w:rsidR="002F3E21" w:rsidRPr="00E346B5">
        <w:t>dir.</w:t>
      </w:r>
    </w:p>
    <w:p w:rsidR="00CF689B" w:rsidRPr="00E346B5" w:rsidRDefault="00CF689B" w:rsidP="00CF689B">
      <w:pPr>
        <w:pStyle w:val="Metin"/>
        <w:numPr>
          <w:ilvl w:val="0"/>
          <w:numId w:val="25"/>
        </w:numPr>
        <w:spacing w:after="0"/>
      </w:pPr>
      <w:r w:rsidRPr="00E346B5">
        <w:t xml:space="preserve">Enerji talebinin </w:t>
      </w:r>
      <w:r w:rsidR="006D296C" w:rsidRPr="00E346B5">
        <w:t>artışına</w:t>
      </w:r>
      <w:r w:rsidRPr="00E346B5">
        <w:t xml:space="preserve"> ve artış hızına </w:t>
      </w:r>
      <w:r w:rsidR="006D296C" w:rsidRPr="00E346B5">
        <w:t xml:space="preserve">uygun </w:t>
      </w:r>
      <w:r w:rsidR="002F3E21" w:rsidRPr="00E346B5">
        <w:t>hazırlanmalı ve</w:t>
      </w:r>
      <w:r w:rsidRPr="00E346B5">
        <w:t xml:space="preserve"> </w:t>
      </w:r>
      <w:r w:rsidR="00980157" w:rsidRPr="00E346B5">
        <w:t xml:space="preserve">değişen tüketim ve/veya üretim eğilimlerine </w:t>
      </w:r>
      <w:r w:rsidR="002F3E21" w:rsidRPr="00E346B5">
        <w:t>cevap vermelidir.</w:t>
      </w:r>
      <w:r w:rsidRPr="00E346B5">
        <w:t xml:space="preserve"> </w:t>
      </w:r>
    </w:p>
    <w:p w:rsidR="00980157" w:rsidRPr="00E346B5" w:rsidRDefault="00CF689B" w:rsidP="00CF689B">
      <w:pPr>
        <w:pStyle w:val="Metin"/>
        <w:numPr>
          <w:ilvl w:val="0"/>
          <w:numId w:val="25"/>
        </w:numPr>
        <w:spacing w:after="0"/>
      </w:pPr>
      <w:r w:rsidRPr="00E346B5">
        <w:t xml:space="preserve">Planlamanın merkezinde bulunan enerji kaynaklarının sistemdeki dağılımı </w:t>
      </w:r>
      <w:r w:rsidR="006D296C" w:rsidRPr="00E346B5">
        <w:t>ile</w:t>
      </w:r>
      <w:r w:rsidRPr="00E346B5">
        <w:t xml:space="preserve"> </w:t>
      </w:r>
      <w:r w:rsidR="006D296C" w:rsidRPr="00E346B5">
        <w:t xml:space="preserve">arz sürekliliği ve </w:t>
      </w:r>
      <w:r w:rsidRPr="00E346B5">
        <w:t xml:space="preserve">teknik kaliteleri </w:t>
      </w:r>
      <w:r w:rsidR="002F3E21" w:rsidRPr="00E346B5">
        <w:t>dikkate alınmalıdır.</w:t>
      </w:r>
    </w:p>
    <w:p w:rsidR="00A715D7" w:rsidRPr="00E346B5" w:rsidRDefault="000F077B" w:rsidP="00CF689B">
      <w:pPr>
        <w:pStyle w:val="Metin"/>
        <w:numPr>
          <w:ilvl w:val="0"/>
          <w:numId w:val="25"/>
        </w:numPr>
        <w:spacing w:after="0"/>
      </w:pPr>
      <w:r>
        <w:rPr>
          <w:rStyle w:val="DipnotBavurusu"/>
        </w:rPr>
        <w:footnoteReference w:id="17"/>
      </w:r>
      <w:r>
        <w:t xml:space="preserve"> Ü</w:t>
      </w:r>
      <w:r w:rsidR="00A715D7" w:rsidRPr="00E346B5">
        <w:t xml:space="preserve">retim </w:t>
      </w:r>
      <w:r w:rsidR="002F3E21" w:rsidRPr="00E346B5">
        <w:t>tesisleri</w:t>
      </w:r>
      <w:r w:rsidR="00A715D7" w:rsidRPr="00E346B5">
        <w:t xml:space="preserve"> dikkate al</w:t>
      </w:r>
      <w:r w:rsidR="00E36290" w:rsidRPr="00E346B5">
        <w:t>ın</w:t>
      </w:r>
      <w:r w:rsidR="00A715D7" w:rsidRPr="00E346B5">
        <w:t>malı</w:t>
      </w:r>
      <w:r w:rsidR="002F3E21" w:rsidRPr="00E346B5">
        <w:t>dır.</w:t>
      </w:r>
    </w:p>
    <w:p w:rsidR="00980157" w:rsidRPr="00E346B5" w:rsidRDefault="00980157" w:rsidP="00980157">
      <w:pPr>
        <w:pStyle w:val="Metin"/>
        <w:numPr>
          <w:ilvl w:val="0"/>
          <w:numId w:val="25"/>
        </w:numPr>
        <w:spacing w:after="0"/>
      </w:pPr>
      <w:r w:rsidRPr="00E346B5">
        <w:t>T</w:t>
      </w:r>
      <w:r w:rsidR="00CF689B" w:rsidRPr="00E346B5">
        <w:t>edarik sürekliliğini, teknik ve ticari kalite göstergeleri</w:t>
      </w:r>
      <w:r w:rsidR="00985681" w:rsidRPr="00E346B5">
        <w:t>ni</w:t>
      </w:r>
      <w:r w:rsidRPr="00E346B5">
        <w:t xml:space="preserve"> dikkate almalı</w:t>
      </w:r>
      <w:r w:rsidR="002F3E21" w:rsidRPr="00E346B5">
        <w:t>dır.</w:t>
      </w:r>
    </w:p>
    <w:p w:rsidR="00071F1E" w:rsidRPr="00E346B5" w:rsidRDefault="006D296C" w:rsidP="00CF689B">
      <w:pPr>
        <w:pStyle w:val="Metin"/>
        <w:numPr>
          <w:ilvl w:val="0"/>
          <w:numId w:val="25"/>
        </w:numPr>
        <w:spacing w:after="0"/>
      </w:pPr>
      <w:r w:rsidRPr="00E346B5">
        <w:t>Kayna</w:t>
      </w:r>
      <w:r w:rsidR="00681854" w:rsidRPr="00E346B5">
        <w:t>k</w:t>
      </w:r>
      <w:r w:rsidRPr="00E346B5">
        <w:t>ların e</w:t>
      </w:r>
      <w:r w:rsidR="00E36290" w:rsidRPr="00E346B5">
        <w:t>konomik</w:t>
      </w:r>
      <w:r w:rsidRPr="00E346B5">
        <w:t xml:space="preserve"> kullanımı esas alınmalı</w:t>
      </w:r>
      <w:r w:rsidR="002A5E92" w:rsidRPr="00E346B5">
        <w:t>dır.</w:t>
      </w:r>
      <w:r w:rsidR="00E36290" w:rsidRPr="00E346B5">
        <w:t xml:space="preserve"> </w:t>
      </w:r>
    </w:p>
    <w:p w:rsidR="00980157" w:rsidRPr="00E346B5" w:rsidRDefault="00071F1E" w:rsidP="00CF689B">
      <w:pPr>
        <w:pStyle w:val="Metin"/>
        <w:numPr>
          <w:ilvl w:val="0"/>
          <w:numId w:val="25"/>
        </w:numPr>
        <w:spacing w:after="0"/>
      </w:pPr>
      <w:r w:rsidRPr="00E346B5">
        <w:t>T</w:t>
      </w:r>
      <w:r w:rsidR="00CF689B" w:rsidRPr="00E346B5">
        <w:t>eknik bilgilerle desteklenmiş olmalı</w:t>
      </w:r>
      <w:r w:rsidRPr="00E346B5">
        <w:t>dır.</w:t>
      </w:r>
    </w:p>
    <w:p w:rsidR="00980157" w:rsidRPr="00E346B5" w:rsidRDefault="00716F74" w:rsidP="00CF689B">
      <w:pPr>
        <w:pStyle w:val="Metin"/>
        <w:numPr>
          <w:ilvl w:val="0"/>
          <w:numId w:val="25"/>
        </w:numPr>
        <w:spacing w:after="0"/>
      </w:pPr>
      <w:r>
        <w:rPr>
          <w:rStyle w:val="DipnotBavurusu"/>
        </w:rPr>
        <w:footnoteReference w:id="18"/>
      </w:r>
      <w:r w:rsidR="00686D5B">
        <w:t xml:space="preserve"> </w:t>
      </w:r>
      <w:r w:rsidR="00CF689B" w:rsidRPr="00E346B5">
        <w:t xml:space="preserve">Elektrik dağıtım </w:t>
      </w:r>
      <w:r>
        <w:t>tesisinin</w:t>
      </w:r>
      <w:r w:rsidRPr="00E346B5">
        <w:t xml:space="preserve"> </w:t>
      </w:r>
      <w:r w:rsidR="00CF689B" w:rsidRPr="00E346B5">
        <w:t>işletimini kolaylaştırmalı</w:t>
      </w:r>
      <w:r w:rsidR="002A5E92" w:rsidRPr="00E346B5">
        <w:t>dır.</w:t>
      </w:r>
    </w:p>
    <w:p w:rsidR="00980157" w:rsidRPr="00E346B5" w:rsidRDefault="00716F74" w:rsidP="00980157">
      <w:pPr>
        <w:pStyle w:val="Metin"/>
        <w:numPr>
          <w:ilvl w:val="0"/>
          <w:numId w:val="25"/>
        </w:numPr>
        <w:spacing w:after="0"/>
      </w:pPr>
      <w:r>
        <w:rPr>
          <w:rStyle w:val="DipnotBavurusu"/>
        </w:rPr>
        <w:footnoteReference w:id="19"/>
      </w:r>
      <w:r w:rsidR="00686D5B">
        <w:t xml:space="preserve"> </w:t>
      </w:r>
      <w:r w:rsidRPr="003F6BD9">
        <w:t>Ayrıştırılabilir olmalı, kısa-orta vadeli olarak farklı senaryolar altında alt projelere ayrılarak tesis edilebilir olmalı, ihtiyaca göre farklı periyotlarla güncellenmelidir.</w:t>
      </w:r>
    </w:p>
    <w:p w:rsidR="0006171C" w:rsidRPr="00E346B5" w:rsidRDefault="0006171C" w:rsidP="0006171C">
      <w:pPr>
        <w:pStyle w:val="Metin"/>
        <w:spacing w:after="0"/>
      </w:pPr>
    </w:p>
    <w:p w:rsidR="007510C5" w:rsidRPr="00E346B5" w:rsidRDefault="007510C5" w:rsidP="00E67773">
      <w:pPr>
        <w:tabs>
          <w:tab w:val="left" w:pos="720"/>
        </w:tabs>
        <w:jc w:val="both"/>
        <w:rPr>
          <w:sz w:val="24"/>
          <w:szCs w:val="24"/>
          <w:vertAlign w:val="baseline"/>
        </w:rPr>
      </w:pPr>
    </w:p>
    <w:p w:rsidR="00DA6D1A" w:rsidRPr="00E346B5" w:rsidRDefault="002C51FA" w:rsidP="002C51FA">
      <w:pPr>
        <w:pStyle w:val="Metin"/>
        <w:spacing w:after="0"/>
        <w:jc w:val="left"/>
        <w:rPr>
          <w:b/>
        </w:rPr>
      </w:pPr>
      <w:r w:rsidRPr="00E346B5">
        <w:rPr>
          <w:b/>
        </w:rPr>
        <w:t>DÖRDÜNCÜ</w:t>
      </w:r>
      <w:r w:rsidR="00DA6D1A" w:rsidRPr="00E346B5">
        <w:rPr>
          <w:b/>
        </w:rPr>
        <w:t xml:space="preserve"> KISIM</w:t>
      </w:r>
    </w:p>
    <w:p w:rsidR="00DA6D1A" w:rsidRPr="00E346B5" w:rsidRDefault="00DA6D1A" w:rsidP="002C51FA">
      <w:pPr>
        <w:pStyle w:val="Metin"/>
        <w:spacing w:after="0"/>
        <w:jc w:val="left"/>
        <w:rPr>
          <w:b/>
          <w:bCs/>
        </w:rPr>
      </w:pPr>
      <w:r w:rsidRPr="00E346B5">
        <w:rPr>
          <w:b/>
          <w:bCs/>
        </w:rPr>
        <w:t>Faaliyet ve/veya Alt Faaliyetin Gerektirdiği Yatırımlar</w:t>
      </w:r>
    </w:p>
    <w:p w:rsidR="00A5713F" w:rsidRPr="00E346B5" w:rsidRDefault="00A5713F" w:rsidP="00A5713F">
      <w:pPr>
        <w:pStyle w:val="Metin"/>
        <w:spacing w:after="0"/>
        <w:jc w:val="center"/>
        <w:rPr>
          <w:b/>
        </w:rPr>
      </w:pPr>
    </w:p>
    <w:p w:rsidR="00DA6D1A" w:rsidRPr="00E346B5" w:rsidRDefault="00CF2F16" w:rsidP="00E67773">
      <w:pPr>
        <w:pStyle w:val="md"/>
        <w:spacing w:before="0" w:beforeAutospacing="0" w:after="0" w:afterAutospacing="0"/>
        <w:jc w:val="both"/>
        <w:rPr>
          <w:b/>
          <w:lang w:eastAsia="en-US"/>
        </w:rPr>
      </w:pPr>
      <w:r w:rsidRPr="00E346B5">
        <w:rPr>
          <w:b/>
          <w:lang w:eastAsia="en-US"/>
        </w:rPr>
        <w:t xml:space="preserve">Şebeke Yatırımları </w:t>
      </w:r>
    </w:p>
    <w:p w:rsidR="001C7106" w:rsidRPr="00E346B5" w:rsidRDefault="00BB7FD6" w:rsidP="008231D2">
      <w:pPr>
        <w:pStyle w:val="md"/>
        <w:spacing w:before="0" w:beforeAutospacing="0" w:after="0" w:afterAutospacing="0"/>
        <w:jc w:val="both"/>
      </w:pPr>
      <w:r w:rsidRPr="00E346B5">
        <w:rPr>
          <w:b/>
        </w:rPr>
        <w:t>Madde</w:t>
      </w:r>
      <w:r w:rsidR="00600240" w:rsidRPr="00E346B5">
        <w:rPr>
          <w:b/>
        </w:rPr>
        <w:t xml:space="preserve"> </w:t>
      </w:r>
      <w:r w:rsidRPr="00E346B5">
        <w:rPr>
          <w:b/>
        </w:rPr>
        <w:t>10</w:t>
      </w:r>
      <w:r w:rsidR="00330CA7" w:rsidRPr="00E346B5">
        <w:rPr>
          <w:b/>
        </w:rPr>
        <w:t>-</w:t>
      </w:r>
      <w:r w:rsidR="0046046A" w:rsidRPr="00E346B5">
        <w:rPr>
          <w:b/>
        </w:rPr>
        <w:t xml:space="preserve"> </w:t>
      </w:r>
      <w:r w:rsidR="002B34C3" w:rsidRPr="00E346B5">
        <w:t xml:space="preserve">(1) Elektrik dağıtım sisteminde </w:t>
      </w:r>
      <w:r w:rsidR="008E3DC9" w:rsidRPr="00E346B5">
        <w:t xml:space="preserve">yapılacak olan </w:t>
      </w:r>
      <w:r w:rsidR="00231796" w:rsidRPr="00E346B5">
        <w:t>Ş</w:t>
      </w:r>
      <w:r w:rsidR="00EB5488" w:rsidRPr="00E346B5">
        <w:t xml:space="preserve">ebeke </w:t>
      </w:r>
      <w:r w:rsidR="00231796" w:rsidRPr="00E346B5">
        <w:t>Y</w:t>
      </w:r>
      <w:r w:rsidR="00EB5488" w:rsidRPr="00E346B5">
        <w:t>atırımları</w:t>
      </w:r>
      <w:r w:rsidR="00273A37" w:rsidRPr="00E346B5">
        <w:t xml:space="preserve"> aşağıdaki yatırım türlerinden oluşur:</w:t>
      </w:r>
    </w:p>
    <w:p w:rsidR="001C7106" w:rsidRPr="00E346B5" w:rsidRDefault="001C7106" w:rsidP="008231D2">
      <w:pPr>
        <w:pStyle w:val="md"/>
        <w:spacing w:before="0" w:beforeAutospacing="0" w:after="0" w:afterAutospacing="0"/>
        <w:jc w:val="both"/>
      </w:pPr>
    </w:p>
    <w:p w:rsidR="00985681" w:rsidRPr="00E346B5" w:rsidRDefault="00CC0F42" w:rsidP="006A2182">
      <w:pPr>
        <w:pStyle w:val="md"/>
        <w:numPr>
          <w:ilvl w:val="0"/>
          <w:numId w:val="39"/>
        </w:numPr>
        <w:spacing w:before="0" w:beforeAutospacing="0" w:after="0" w:afterAutospacing="0"/>
        <w:ind w:hanging="436"/>
        <w:jc w:val="both"/>
      </w:pPr>
      <w:r w:rsidRPr="00E346B5">
        <w:t xml:space="preserve">Dağıtım sistemine bağlı bulunan abonelerin toplam tüketimindeki artışı karşılamak üzere şebekenin mevcut kapasitesi, transformatör merkezlerinin kurulu gücü, puant yüklenmesi </w:t>
      </w:r>
      <w:r w:rsidRPr="00E346B5">
        <w:lastRenderedPageBreak/>
        <w:t>ve talep artış tahminleri dikkate alınarak yapılan hesaplamalar neticesinde yapılması gereken yatırımlar</w:t>
      </w:r>
      <w:r w:rsidR="00985681" w:rsidRPr="00E346B5">
        <w:t>,</w:t>
      </w:r>
    </w:p>
    <w:p w:rsidR="00F144CD" w:rsidRPr="00E346B5" w:rsidRDefault="00985681" w:rsidP="006A2182">
      <w:pPr>
        <w:pStyle w:val="md"/>
        <w:numPr>
          <w:ilvl w:val="0"/>
          <w:numId w:val="39"/>
        </w:numPr>
        <w:spacing w:before="0" w:beforeAutospacing="0" w:after="0" w:afterAutospacing="0"/>
        <w:ind w:hanging="436"/>
        <w:jc w:val="both"/>
      </w:pPr>
      <w:r w:rsidRPr="00E346B5">
        <w:t>D</w:t>
      </w:r>
      <w:r w:rsidR="00C54A70" w:rsidRPr="00E346B5">
        <w:t>ağıtım sisteminin mevcut kapasitesinden bağımsız olarak ele alınan, bir şebekede zamanla yeni yerleşim yeri oluşması sonucu ortaya çıkan ihtiyacın karşılanabilmesi için yapılması gereken g</w:t>
      </w:r>
      <w:r w:rsidR="00EB5488" w:rsidRPr="00E346B5">
        <w:t>enişleme yatırımları,</w:t>
      </w:r>
    </w:p>
    <w:p w:rsidR="00F144CD" w:rsidRPr="00E346B5" w:rsidRDefault="00716F74" w:rsidP="006A2182">
      <w:pPr>
        <w:pStyle w:val="md"/>
        <w:numPr>
          <w:ilvl w:val="0"/>
          <w:numId w:val="39"/>
        </w:numPr>
        <w:spacing w:before="0" w:beforeAutospacing="0" w:after="0" w:afterAutospacing="0"/>
        <w:ind w:hanging="436"/>
        <w:jc w:val="both"/>
      </w:pPr>
      <w:r>
        <w:rPr>
          <w:rStyle w:val="DipnotBavurusu"/>
        </w:rPr>
        <w:footnoteReference w:id="20"/>
      </w:r>
      <w:r>
        <w:t xml:space="preserve"> </w:t>
      </w:r>
      <w:r w:rsidRPr="003F6BD9">
        <w:t>Dağıtım tesislerinin ekonomik ömrünü tamamlaması veya can ve mal güvenliği nedeni ile aynı nitelikte yeniden yapılan yatırımları,</w:t>
      </w:r>
    </w:p>
    <w:p w:rsidR="003B7035" w:rsidRPr="00E346B5" w:rsidRDefault="006A2182" w:rsidP="006A2182">
      <w:pPr>
        <w:pStyle w:val="md"/>
        <w:spacing w:before="0" w:beforeAutospacing="0" w:after="0" w:afterAutospacing="0"/>
        <w:ind w:left="709" w:hanging="425"/>
        <w:jc w:val="both"/>
      </w:pPr>
      <w:r w:rsidRPr="00E346B5">
        <w:t xml:space="preserve">ç)   </w:t>
      </w:r>
      <w:r w:rsidR="003B7035" w:rsidRPr="00E346B5">
        <w:t>Tedarik sürekliliği, ticari ve teknik kaliteye ilişkin kriterlerin yerine get</w:t>
      </w:r>
      <w:r w:rsidR="00985681" w:rsidRPr="00E346B5">
        <w:t xml:space="preserve">irilmesi için yapılan </w:t>
      </w:r>
      <w:r w:rsidR="003B7035" w:rsidRPr="00E346B5">
        <w:t xml:space="preserve">dağıtım merkezleri, kesici ölçü kabinleri, kompanzasyon-reaktör ile teknolojik gelişmelere </w:t>
      </w:r>
      <w:r w:rsidR="00273A37" w:rsidRPr="00E346B5">
        <w:t xml:space="preserve">uygun </w:t>
      </w:r>
      <w:r w:rsidR="003B7035" w:rsidRPr="00E346B5">
        <w:t>ol</w:t>
      </w:r>
      <w:r w:rsidR="00BA424D" w:rsidRPr="00E346B5">
        <w:t>arak ihtiyaç duyulan yatırımları</w:t>
      </w:r>
      <w:r w:rsidR="003B7035" w:rsidRPr="00E346B5">
        <w:t>,</w:t>
      </w:r>
    </w:p>
    <w:p w:rsidR="003B7035" w:rsidRPr="00E346B5" w:rsidRDefault="00716F74" w:rsidP="006A2182">
      <w:pPr>
        <w:pStyle w:val="md"/>
        <w:numPr>
          <w:ilvl w:val="0"/>
          <w:numId w:val="39"/>
        </w:numPr>
        <w:spacing w:before="0" w:beforeAutospacing="0" w:after="0" w:afterAutospacing="0"/>
        <w:ind w:hanging="436"/>
        <w:jc w:val="both"/>
      </w:pPr>
      <w:r>
        <w:rPr>
          <w:rStyle w:val="DipnotBavurusu"/>
        </w:rPr>
        <w:footnoteReference w:id="21"/>
      </w:r>
      <w:r>
        <w:t xml:space="preserve"> </w:t>
      </w:r>
      <w:r w:rsidRPr="003F6BD9">
        <w:t>Dağıtım sistemine bağlı bulunan veya bağlanacak olan dağıtım sistemi kullanıcıları için yapılacak o</w:t>
      </w:r>
      <w:r>
        <w:t>lan dağıtım tesisi yatırımları,</w:t>
      </w:r>
    </w:p>
    <w:p w:rsidR="003B7035" w:rsidRPr="00E346B5" w:rsidRDefault="003B7035" w:rsidP="006A2182">
      <w:pPr>
        <w:pStyle w:val="md"/>
        <w:numPr>
          <w:ilvl w:val="0"/>
          <w:numId w:val="39"/>
        </w:numPr>
        <w:spacing w:before="0" w:beforeAutospacing="0" w:after="0" w:afterAutospacing="0"/>
        <w:ind w:hanging="436"/>
        <w:jc w:val="both"/>
      </w:pPr>
      <w:r w:rsidRPr="00E346B5">
        <w:t>Dağıtım sisteminde kayıpları azaltmak ve standardizasyonu sağlamak adına yapılacak olan gerilim dönüşümü için yapıl</w:t>
      </w:r>
      <w:r w:rsidR="00BA424D" w:rsidRPr="00E346B5">
        <w:t>an yatırımlar,</w:t>
      </w:r>
    </w:p>
    <w:p w:rsidR="001D61AD" w:rsidRPr="00E346B5" w:rsidRDefault="00DA732F" w:rsidP="006A2182">
      <w:pPr>
        <w:pStyle w:val="md"/>
        <w:numPr>
          <w:ilvl w:val="0"/>
          <w:numId w:val="39"/>
        </w:numPr>
        <w:spacing w:before="0" w:beforeAutospacing="0" w:after="0" w:afterAutospacing="0"/>
        <w:ind w:hanging="436"/>
        <w:jc w:val="both"/>
        <w:rPr>
          <w:lang w:eastAsia="en-US"/>
        </w:rPr>
      </w:pPr>
      <w:r w:rsidRPr="00E346B5">
        <w:rPr>
          <w:lang w:eastAsia="en-US"/>
        </w:rPr>
        <w:t>Mevcut dağıtım tesislerindeki deplase işlerine ait yatırım harcamaları</w:t>
      </w:r>
      <w:r w:rsidR="001D61AD" w:rsidRPr="00E346B5">
        <w:rPr>
          <w:lang w:eastAsia="en-US"/>
        </w:rPr>
        <w:t>,</w:t>
      </w:r>
    </w:p>
    <w:p w:rsidR="00716F74" w:rsidRDefault="001D61AD" w:rsidP="006A2182">
      <w:pPr>
        <w:pStyle w:val="md"/>
        <w:numPr>
          <w:ilvl w:val="0"/>
          <w:numId w:val="39"/>
        </w:numPr>
        <w:spacing w:before="0" w:beforeAutospacing="0" w:after="0" w:afterAutospacing="0"/>
        <w:ind w:hanging="436"/>
        <w:jc w:val="both"/>
      </w:pPr>
      <w:r w:rsidRPr="00E346B5">
        <w:t>Genel Aydınlatma Yönetmeliği hükümleri çerçevesinde dağıtım şirketlerinin yükümlülüğünde yer alan aydınlatma yatırımları.</w:t>
      </w:r>
    </w:p>
    <w:p w:rsidR="00A5713F" w:rsidRPr="00E346B5" w:rsidRDefault="00716F74" w:rsidP="006A2182">
      <w:pPr>
        <w:pStyle w:val="md"/>
        <w:numPr>
          <w:ilvl w:val="0"/>
          <w:numId w:val="39"/>
        </w:numPr>
        <w:spacing w:before="0" w:beforeAutospacing="0" w:after="0" w:afterAutospacing="0"/>
        <w:ind w:hanging="436"/>
        <w:jc w:val="both"/>
      </w:pPr>
      <w:r>
        <w:rPr>
          <w:rStyle w:val="DipnotBavurusu"/>
        </w:rPr>
        <w:footnoteReference w:id="22"/>
      </w:r>
      <w:r>
        <w:t xml:space="preserve"> </w:t>
      </w:r>
      <w:r w:rsidRPr="003F6BD9">
        <w:t>6446 sayılı Elektrik Piyasası Kanunu ile dağıtım şirketlerin</w:t>
      </w:r>
      <w:r>
        <w:t>in</w:t>
      </w:r>
      <w:r w:rsidRPr="003F6BD9">
        <w:t xml:space="preserve"> mülkiyetine geçen sayaçların okunamaması gibi nedenlerle bina dışına alınması için yapılan yatırımlar (Sayaç bedelleri sayaç yatırımı karakteristiğinde raporlanacaktır.),</w:t>
      </w:r>
      <w:r w:rsidR="00BA424D" w:rsidRPr="00E346B5">
        <w:t xml:space="preserve"> </w:t>
      </w:r>
    </w:p>
    <w:p w:rsidR="00681854" w:rsidRPr="00E346B5" w:rsidRDefault="00681854" w:rsidP="00681854">
      <w:pPr>
        <w:ind w:left="720"/>
        <w:jc w:val="both"/>
        <w:rPr>
          <w:sz w:val="24"/>
          <w:szCs w:val="24"/>
        </w:rPr>
      </w:pPr>
    </w:p>
    <w:p w:rsidR="00273A37" w:rsidRPr="00E346B5" w:rsidRDefault="00273A37" w:rsidP="00A147CA">
      <w:pPr>
        <w:jc w:val="both"/>
        <w:rPr>
          <w:rFonts w:eastAsia="Times New Roman"/>
          <w:sz w:val="24"/>
          <w:szCs w:val="24"/>
          <w:vertAlign w:val="baseline"/>
          <w:lang w:eastAsia="tr-TR"/>
        </w:rPr>
      </w:pPr>
      <w:r w:rsidRPr="00E346B5">
        <w:rPr>
          <w:sz w:val="24"/>
          <w:szCs w:val="24"/>
          <w:vertAlign w:val="baseline"/>
        </w:rPr>
        <w:t xml:space="preserve">(2) </w:t>
      </w:r>
      <w:r w:rsidR="006A79A1" w:rsidRPr="00E346B5">
        <w:rPr>
          <w:rFonts w:eastAsia="Times New Roman"/>
          <w:sz w:val="24"/>
          <w:szCs w:val="24"/>
          <w:vertAlign w:val="baseline"/>
          <w:lang w:eastAsia="tr-TR"/>
        </w:rPr>
        <w:t xml:space="preserve">Birinci fıkranın </w:t>
      </w:r>
      <w:r w:rsidR="00A25506" w:rsidRPr="00E346B5">
        <w:rPr>
          <w:rFonts w:eastAsia="Times New Roman"/>
          <w:sz w:val="24"/>
          <w:szCs w:val="24"/>
          <w:vertAlign w:val="baseline"/>
          <w:lang w:eastAsia="tr-TR"/>
        </w:rPr>
        <w:t>(</w:t>
      </w:r>
      <w:r w:rsidR="006A2182" w:rsidRPr="00E346B5">
        <w:rPr>
          <w:rFonts w:eastAsia="Times New Roman"/>
          <w:sz w:val="24"/>
          <w:szCs w:val="24"/>
          <w:vertAlign w:val="baseline"/>
          <w:lang w:eastAsia="tr-TR"/>
        </w:rPr>
        <w:t>f</w:t>
      </w:r>
      <w:r w:rsidR="00A25506" w:rsidRPr="00E346B5">
        <w:rPr>
          <w:rFonts w:eastAsia="Times New Roman"/>
          <w:sz w:val="24"/>
          <w:szCs w:val="24"/>
          <w:vertAlign w:val="baseline"/>
          <w:lang w:eastAsia="tr-TR"/>
        </w:rPr>
        <w:t>)</w:t>
      </w:r>
      <w:r w:rsidR="006A79A1" w:rsidRPr="00E346B5">
        <w:rPr>
          <w:rFonts w:eastAsia="Times New Roman"/>
          <w:sz w:val="24"/>
          <w:szCs w:val="24"/>
          <w:vertAlign w:val="baseline"/>
          <w:lang w:eastAsia="tr-TR"/>
        </w:rPr>
        <w:t xml:space="preserve"> bendi kapsamında, mevcut dağıtım tesislerindeki deplase işlerine ait yatırım harcamaları; deplasesi talep edilen dağıtım tesisinin kamulaştırma işlemlerinin tamamlanmış olması halinde veya </w:t>
      </w:r>
      <w:r w:rsidR="00A00D80" w:rsidRPr="00E346B5">
        <w:rPr>
          <w:rFonts w:eastAsia="Times New Roman"/>
          <w:sz w:val="24"/>
          <w:szCs w:val="24"/>
          <w:vertAlign w:val="baseline"/>
          <w:lang w:eastAsia="tr-TR"/>
        </w:rPr>
        <w:t>ilgili</w:t>
      </w:r>
      <w:r w:rsidR="00514C64" w:rsidRPr="00E346B5">
        <w:rPr>
          <w:rFonts w:eastAsia="Times New Roman"/>
          <w:sz w:val="24"/>
          <w:szCs w:val="24"/>
          <w:vertAlign w:val="baseline"/>
          <w:lang w:eastAsia="tr-TR"/>
        </w:rPr>
        <w:t xml:space="preserve"> mevzuatta</w:t>
      </w:r>
      <w:r w:rsidR="006A79A1" w:rsidRPr="00E346B5">
        <w:rPr>
          <w:rFonts w:eastAsia="Times New Roman"/>
          <w:sz w:val="24"/>
          <w:szCs w:val="24"/>
          <w:vertAlign w:val="baseline"/>
          <w:lang w:eastAsia="tr-TR"/>
        </w:rPr>
        <w:t xml:space="preserve"> açık hüküm bulunması haricinde, deplase talebini yapan gerçek veya tüzel kişi tarafından karşılanacak olup </w:t>
      </w:r>
      <w:r w:rsidR="00514C64" w:rsidRPr="00E346B5">
        <w:rPr>
          <w:rFonts w:eastAsia="Times New Roman"/>
          <w:sz w:val="24"/>
          <w:szCs w:val="24"/>
          <w:vertAlign w:val="baseline"/>
          <w:lang w:eastAsia="tr-TR"/>
        </w:rPr>
        <w:t>ön kabulden geçmiş</w:t>
      </w:r>
      <w:r w:rsidR="006A79A1" w:rsidRPr="00E346B5">
        <w:rPr>
          <w:rFonts w:eastAsia="Times New Roman"/>
          <w:sz w:val="24"/>
          <w:szCs w:val="24"/>
          <w:vertAlign w:val="baseline"/>
          <w:lang w:eastAsia="tr-TR"/>
        </w:rPr>
        <w:t xml:space="preserve"> yatırım harcaması olarak değerlendirilmez. M</w:t>
      </w:r>
      <w:r w:rsidR="00514C64" w:rsidRPr="00E346B5">
        <w:rPr>
          <w:rFonts w:eastAsia="Times New Roman"/>
          <w:sz w:val="24"/>
          <w:szCs w:val="24"/>
          <w:vertAlign w:val="baseline"/>
          <w:lang w:eastAsia="tr-TR"/>
        </w:rPr>
        <w:t>evcut dağıtım tesisinin ilgili kurum ve k</w:t>
      </w:r>
      <w:r w:rsidR="006A79A1" w:rsidRPr="00E346B5">
        <w:rPr>
          <w:rFonts w:eastAsia="Times New Roman"/>
          <w:sz w:val="24"/>
          <w:szCs w:val="24"/>
          <w:vertAlign w:val="baseline"/>
          <w:lang w:eastAsia="tr-TR"/>
        </w:rPr>
        <w:t>uruluşların bilgisi veya izni dahilinde yapılmaması durumunda deplase işlemine ait masrafların ilgili dağıtım şirketi tarafından karşılanması ak</w:t>
      </w:r>
      <w:r w:rsidR="00514C64" w:rsidRPr="00E346B5">
        <w:rPr>
          <w:rFonts w:eastAsia="Times New Roman"/>
          <w:sz w:val="24"/>
          <w:szCs w:val="24"/>
          <w:vertAlign w:val="baseline"/>
          <w:lang w:eastAsia="tr-TR"/>
        </w:rPr>
        <w:t>si durumda ise ilgili kurum ve k</w:t>
      </w:r>
      <w:r w:rsidR="006A79A1" w:rsidRPr="00E346B5">
        <w:rPr>
          <w:rFonts w:eastAsia="Times New Roman"/>
          <w:sz w:val="24"/>
          <w:szCs w:val="24"/>
          <w:vertAlign w:val="baseline"/>
          <w:lang w:eastAsia="tr-TR"/>
        </w:rPr>
        <w:t xml:space="preserve">uruluşlarca karşılanması esas olup </w:t>
      </w:r>
      <w:r w:rsidR="00514C64" w:rsidRPr="00E346B5">
        <w:rPr>
          <w:rFonts w:eastAsia="Times New Roman"/>
          <w:sz w:val="24"/>
          <w:szCs w:val="24"/>
          <w:vertAlign w:val="baseline"/>
          <w:lang w:eastAsia="tr-TR"/>
        </w:rPr>
        <w:t xml:space="preserve">ön kabulden geçmiş </w:t>
      </w:r>
      <w:r w:rsidR="006A79A1" w:rsidRPr="00E346B5">
        <w:rPr>
          <w:rFonts w:eastAsia="Times New Roman"/>
          <w:sz w:val="24"/>
          <w:szCs w:val="24"/>
          <w:vertAlign w:val="baseline"/>
          <w:lang w:eastAsia="tr-TR"/>
        </w:rPr>
        <w:t xml:space="preserve">yatırım harcaması olarak değerlendirilmez. Kanunun 19 uncu maddesinin altıncı fıkrasında belirtilen özelleştirme tarihi itibarıyla mevcut olan dağıtım tesislerinin bulunduğu ve bu tarih itibarıyla kamulaştırma kararları alınmamış veya kamulaştırma kararı alınmakla birlikte kamulaştırma işlemleri tamamlanmamış tesisler bu fıkra kapsamında değerlendirilmez. Kayseri ve Civarı T.A.Ş. için özelleştirme tarihi </w:t>
      </w:r>
      <w:r w:rsidR="00877E11" w:rsidRPr="00E346B5">
        <w:rPr>
          <w:rFonts w:eastAsia="Times New Roman"/>
          <w:sz w:val="24"/>
          <w:szCs w:val="24"/>
          <w:vertAlign w:val="baseline"/>
          <w:lang w:eastAsia="tr-TR"/>
        </w:rPr>
        <w:t>yerine</w:t>
      </w:r>
      <w:r w:rsidR="006A79A1" w:rsidRPr="00E346B5">
        <w:rPr>
          <w:rFonts w:eastAsia="Times New Roman"/>
          <w:sz w:val="24"/>
          <w:szCs w:val="24"/>
          <w:vertAlign w:val="baseline"/>
          <w:lang w:eastAsia="tr-TR"/>
        </w:rPr>
        <w:t xml:space="preserve"> </w:t>
      </w:r>
      <w:r w:rsidR="003E6E13" w:rsidRPr="00E346B5">
        <w:rPr>
          <w:rFonts w:eastAsia="Times New Roman"/>
          <w:sz w:val="24"/>
          <w:szCs w:val="24"/>
          <w:vertAlign w:val="baseline"/>
          <w:lang w:eastAsia="tr-TR"/>
        </w:rPr>
        <w:t>Kurumdan lisans aldığı</w:t>
      </w:r>
      <w:r w:rsidR="003E6E13" w:rsidRPr="00E346B5">
        <w:rPr>
          <w:rFonts w:eastAsia="Times New Roman"/>
          <w:color w:val="FF0000"/>
          <w:sz w:val="24"/>
          <w:szCs w:val="24"/>
          <w:vertAlign w:val="baseline"/>
          <w:lang w:eastAsia="tr-TR"/>
        </w:rPr>
        <w:t xml:space="preserve"> </w:t>
      </w:r>
      <w:r w:rsidR="006A79A1" w:rsidRPr="00E346B5">
        <w:rPr>
          <w:rFonts w:eastAsia="Times New Roman"/>
          <w:sz w:val="24"/>
          <w:szCs w:val="24"/>
          <w:vertAlign w:val="baseline"/>
          <w:lang w:eastAsia="tr-TR"/>
        </w:rPr>
        <w:t>tarih dikkate alınır.</w:t>
      </w:r>
      <w:r w:rsidRPr="00E346B5">
        <w:rPr>
          <w:rFonts w:eastAsia="Times New Roman"/>
          <w:sz w:val="24"/>
          <w:szCs w:val="24"/>
          <w:vertAlign w:val="baseline"/>
          <w:lang w:eastAsia="tr-TR"/>
        </w:rPr>
        <w:t xml:space="preserve"> </w:t>
      </w:r>
    </w:p>
    <w:p w:rsidR="0041758E" w:rsidRPr="00E346B5" w:rsidRDefault="0041758E" w:rsidP="00A147CA">
      <w:pPr>
        <w:jc w:val="both"/>
        <w:rPr>
          <w:sz w:val="24"/>
          <w:szCs w:val="24"/>
          <w:vertAlign w:val="baseline"/>
        </w:rPr>
      </w:pPr>
    </w:p>
    <w:p w:rsidR="00467EB1" w:rsidRPr="00E346B5" w:rsidRDefault="00467EB1" w:rsidP="00A147CA">
      <w:pPr>
        <w:jc w:val="both"/>
        <w:rPr>
          <w:rFonts w:eastAsia="Times New Roman"/>
          <w:sz w:val="24"/>
          <w:szCs w:val="24"/>
          <w:vertAlign w:val="baseline"/>
          <w:lang w:eastAsia="en-US"/>
        </w:rPr>
      </w:pPr>
      <w:r w:rsidRPr="00E346B5">
        <w:rPr>
          <w:sz w:val="24"/>
          <w:szCs w:val="24"/>
          <w:vertAlign w:val="baseline"/>
        </w:rPr>
        <w:t>(</w:t>
      </w:r>
      <w:r w:rsidR="006E4B43" w:rsidRPr="00E346B5">
        <w:rPr>
          <w:sz w:val="24"/>
          <w:szCs w:val="24"/>
          <w:vertAlign w:val="baseline"/>
        </w:rPr>
        <w:t>3</w:t>
      </w:r>
      <w:r w:rsidRPr="00E346B5">
        <w:rPr>
          <w:sz w:val="24"/>
          <w:szCs w:val="24"/>
          <w:vertAlign w:val="baseline"/>
        </w:rPr>
        <w:t>)</w:t>
      </w:r>
      <w:r w:rsidR="00716F74">
        <w:rPr>
          <w:rStyle w:val="DipnotBavurusu"/>
          <w:sz w:val="24"/>
          <w:szCs w:val="24"/>
        </w:rPr>
        <w:footnoteReference w:id="23"/>
      </w:r>
      <w:r w:rsidRPr="00E346B5">
        <w:rPr>
          <w:sz w:val="24"/>
          <w:szCs w:val="24"/>
          <w:vertAlign w:val="baseline"/>
        </w:rPr>
        <w:t xml:space="preserve"> </w:t>
      </w:r>
      <w:r w:rsidR="00716F74" w:rsidRPr="00716F74">
        <w:rPr>
          <w:rFonts w:eastAsia="Times New Roman"/>
          <w:sz w:val="24"/>
          <w:szCs w:val="24"/>
          <w:vertAlign w:val="baseline"/>
          <w:lang w:eastAsia="en-US"/>
        </w:rPr>
        <w:t>Şebeke Yatırımlarından birinci fıkranın (a) ve (b)  bentleri kapsamında yatırım yapılması öngörülen şebekedeki varlıkların en az 15 yıl, diğer bentler kapsamında yapılması öngörülen şebekedeki varlıkların en az 30 yıl süreyle kullanımda olması esastır. Kullanımda olduğu süre, bu fıkrada belirtilen süreleri doldurmamış varlıklara ilişkin harcamalar, ön kabulden geçmiş yatırım harcaması hesaplamalarında dikkate alınmaz. Ancak bu kapsamda yapılan harcamalar için dağıtım şirketince sunulan gerekçelerin Kurul tarafından uygun görülmesi halinde bu fıkrada belirtilen süre şartı aranmaz. Dağıtım şirketince sunulan gerekçelere ait ispatlayıcı bilgi ve belgeler ilgili yatırım projesinin dosyasında muhafaza edilir.</w:t>
      </w:r>
    </w:p>
    <w:p w:rsidR="00BA424D" w:rsidRPr="00E346B5" w:rsidRDefault="00BA424D" w:rsidP="00A147CA">
      <w:pPr>
        <w:jc w:val="both"/>
        <w:rPr>
          <w:rFonts w:eastAsia="Times New Roman"/>
          <w:sz w:val="24"/>
          <w:szCs w:val="24"/>
          <w:vertAlign w:val="baseline"/>
          <w:lang w:eastAsia="en-US"/>
        </w:rPr>
      </w:pPr>
    </w:p>
    <w:p w:rsidR="00E7372D" w:rsidRPr="00E346B5" w:rsidRDefault="00BA424D" w:rsidP="00A147CA">
      <w:pPr>
        <w:jc w:val="both"/>
        <w:rPr>
          <w:rFonts w:eastAsia="Times New Roman"/>
          <w:sz w:val="24"/>
          <w:szCs w:val="24"/>
          <w:vertAlign w:val="baseline"/>
          <w:lang w:eastAsia="en-US"/>
        </w:rPr>
      </w:pPr>
      <w:r w:rsidRPr="00E346B5">
        <w:rPr>
          <w:rFonts w:eastAsia="Times New Roman"/>
          <w:sz w:val="24"/>
          <w:szCs w:val="24"/>
          <w:vertAlign w:val="baseline"/>
          <w:lang w:eastAsia="en-US"/>
        </w:rPr>
        <w:lastRenderedPageBreak/>
        <w:t>(</w:t>
      </w:r>
      <w:r w:rsidR="00A63F94" w:rsidRPr="00E346B5">
        <w:rPr>
          <w:rFonts w:eastAsia="Times New Roman"/>
          <w:sz w:val="24"/>
          <w:szCs w:val="24"/>
          <w:vertAlign w:val="baseline"/>
          <w:lang w:eastAsia="en-US"/>
        </w:rPr>
        <w:t>4</w:t>
      </w:r>
      <w:r w:rsidRPr="00E346B5">
        <w:rPr>
          <w:rFonts w:eastAsia="Times New Roman"/>
          <w:sz w:val="24"/>
          <w:szCs w:val="24"/>
          <w:vertAlign w:val="baseline"/>
          <w:lang w:eastAsia="en-US"/>
        </w:rPr>
        <w:t>)</w:t>
      </w:r>
      <w:r w:rsidR="00716F74">
        <w:rPr>
          <w:rStyle w:val="DipnotBavurusu"/>
          <w:rFonts w:eastAsia="Times New Roman"/>
          <w:sz w:val="24"/>
          <w:szCs w:val="24"/>
          <w:lang w:eastAsia="en-US"/>
        </w:rPr>
        <w:footnoteReference w:id="24"/>
      </w:r>
      <w:r w:rsidRPr="00E346B5">
        <w:rPr>
          <w:rFonts w:eastAsia="Times New Roman"/>
          <w:sz w:val="24"/>
          <w:szCs w:val="24"/>
          <w:vertAlign w:val="baseline"/>
          <w:lang w:eastAsia="en-US"/>
        </w:rPr>
        <w:t xml:space="preserve"> </w:t>
      </w:r>
      <w:r w:rsidR="00716F74" w:rsidRPr="00716F74">
        <w:rPr>
          <w:rFonts w:eastAsia="Times New Roman"/>
          <w:sz w:val="24"/>
          <w:szCs w:val="24"/>
          <w:vertAlign w:val="baseline"/>
          <w:lang w:eastAsia="en-US"/>
        </w:rPr>
        <w:t>Müstakil yatırım projesi hazırlanarak dağıtım sisteminde ekonomik ömrünü tamamlaması nedeni ile yenilenecek olan varlıklara (ölçü transformatörleri hariç trafolar, modüler hücreler, açık şalt hücrelerdeki adi ayrıcı-topraklı ayrıcı-yük ayırıcısı-kesiciler, harici veya dahili AG dağıtım panoları)  ilişkin ekonomik ömür, 30 yıl olarak alınır. Aydınlatma armatürleri (lambası ile komple)  için ekonomik ömür, 10 yıl olarak alınır.</w:t>
      </w:r>
      <w:r w:rsidR="003A4BCA" w:rsidRPr="00E346B5">
        <w:rPr>
          <w:rFonts w:eastAsia="Times New Roman"/>
          <w:sz w:val="24"/>
          <w:szCs w:val="24"/>
          <w:vertAlign w:val="baseline"/>
          <w:lang w:eastAsia="en-US"/>
        </w:rPr>
        <w:t xml:space="preserve"> </w:t>
      </w:r>
    </w:p>
    <w:p w:rsidR="006A2182" w:rsidRPr="00E346B5" w:rsidRDefault="006A2182" w:rsidP="00A147CA">
      <w:pPr>
        <w:jc w:val="both"/>
        <w:rPr>
          <w:rFonts w:eastAsia="Times New Roman"/>
          <w:sz w:val="24"/>
          <w:szCs w:val="24"/>
          <w:vertAlign w:val="baseline"/>
          <w:lang w:eastAsia="en-US"/>
        </w:rPr>
      </w:pPr>
    </w:p>
    <w:p w:rsidR="00834940" w:rsidRPr="00E346B5" w:rsidRDefault="00834940" w:rsidP="00A147CA">
      <w:pPr>
        <w:jc w:val="both"/>
        <w:rPr>
          <w:rFonts w:eastAsia="Times New Roman"/>
          <w:sz w:val="24"/>
          <w:szCs w:val="24"/>
          <w:vertAlign w:val="baseline"/>
          <w:lang w:eastAsia="en-US"/>
        </w:rPr>
      </w:pPr>
      <w:r w:rsidRPr="00E346B5">
        <w:rPr>
          <w:rFonts w:eastAsia="Times New Roman"/>
          <w:sz w:val="24"/>
          <w:szCs w:val="24"/>
          <w:vertAlign w:val="baseline"/>
          <w:lang w:eastAsia="en-US"/>
        </w:rPr>
        <w:t>(5) Dördüncü fıkra kapsamına girmeyen şebeke varlıklarına ait yenileme harcamaları ön kabulden geçmiş yatırım harcaması olarak değerlendirilmez.</w:t>
      </w:r>
    </w:p>
    <w:p w:rsidR="00834940" w:rsidRPr="00E346B5" w:rsidRDefault="00834940" w:rsidP="00A147CA">
      <w:pPr>
        <w:jc w:val="both"/>
        <w:rPr>
          <w:rFonts w:eastAsia="Times New Roman"/>
          <w:sz w:val="24"/>
          <w:szCs w:val="24"/>
          <w:vertAlign w:val="baseline"/>
          <w:lang w:eastAsia="en-US"/>
        </w:rPr>
      </w:pPr>
    </w:p>
    <w:p w:rsidR="00BA424D" w:rsidRPr="00E346B5" w:rsidRDefault="00E7372D" w:rsidP="00A147CA">
      <w:pPr>
        <w:jc w:val="both"/>
        <w:rPr>
          <w:rFonts w:eastAsia="Times New Roman"/>
          <w:sz w:val="24"/>
          <w:szCs w:val="24"/>
          <w:vertAlign w:val="baseline"/>
          <w:lang w:eastAsia="en-US"/>
        </w:rPr>
      </w:pPr>
      <w:r w:rsidRPr="00E346B5">
        <w:rPr>
          <w:rFonts w:eastAsia="Times New Roman"/>
          <w:sz w:val="24"/>
          <w:szCs w:val="24"/>
          <w:vertAlign w:val="baseline"/>
          <w:lang w:eastAsia="en-US"/>
        </w:rPr>
        <w:t>(</w:t>
      </w:r>
      <w:r w:rsidR="00834940" w:rsidRPr="00E346B5">
        <w:rPr>
          <w:rFonts w:eastAsia="Times New Roman"/>
          <w:sz w:val="24"/>
          <w:szCs w:val="24"/>
          <w:vertAlign w:val="baseline"/>
          <w:lang w:eastAsia="en-US"/>
        </w:rPr>
        <w:t>6</w:t>
      </w:r>
      <w:r w:rsidRPr="00E346B5">
        <w:rPr>
          <w:rFonts w:eastAsia="Times New Roman"/>
          <w:sz w:val="24"/>
          <w:szCs w:val="24"/>
          <w:vertAlign w:val="baseline"/>
          <w:lang w:eastAsia="en-US"/>
        </w:rPr>
        <w:t>) Elektrik Piyasası Bağlantı ve Sistem Kullanım Yö</w:t>
      </w:r>
      <w:r w:rsidR="00230CFE" w:rsidRPr="00E346B5">
        <w:rPr>
          <w:rFonts w:eastAsia="Times New Roman"/>
          <w:sz w:val="24"/>
          <w:szCs w:val="24"/>
          <w:vertAlign w:val="baseline"/>
          <w:lang w:eastAsia="en-US"/>
        </w:rPr>
        <w:t>netmeliği “Tadilat” başlıklı 26 ıncı</w:t>
      </w:r>
      <w:r w:rsidRPr="00E346B5">
        <w:rPr>
          <w:rFonts w:eastAsia="Times New Roman"/>
          <w:sz w:val="24"/>
          <w:szCs w:val="24"/>
          <w:vertAlign w:val="baseline"/>
          <w:lang w:eastAsia="en-US"/>
        </w:rPr>
        <w:t xml:space="preserve"> </w:t>
      </w:r>
      <w:r w:rsidR="00230CFE" w:rsidRPr="00E346B5">
        <w:rPr>
          <w:rFonts w:eastAsia="Times New Roman"/>
          <w:sz w:val="24"/>
          <w:szCs w:val="24"/>
          <w:vertAlign w:val="baseline"/>
          <w:lang w:eastAsia="en-US"/>
        </w:rPr>
        <w:t>m</w:t>
      </w:r>
      <w:r w:rsidRPr="00E346B5">
        <w:rPr>
          <w:rFonts w:eastAsia="Times New Roman"/>
          <w:sz w:val="24"/>
          <w:szCs w:val="24"/>
          <w:vertAlign w:val="baseline"/>
          <w:lang w:eastAsia="en-US"/>
        </w:rPr>
        <w:t xml:space="preserve">addesi uyarınca dağıtım şirketi tarafından yapılması gereken harcamalar bu madde kapsamında raporlanır. </w:t>
      </w:r>
      <w:r w:rsidR="00820594" w:rsidRPr="00E346B5">
        <w:rPr>
          <w:rFonts w:eastAsia="Times New Roman"/>
          <w:sz w:val="24"/>
          <w:szCs w:val="24"/>
          <w:vertAlign w:val="baseline"/>
          <w:lang w:eastAsia="en-US"/>
        </w:rPr>
        <w:t xml:space="preserve">  </w:t>
      </w:r>
      <w:r w:rsidR="00BA424D" w:rsidRPr="00E346B5">
        <w:rPr>
          <w:rFonts w:eastAsia="Times New Roman"/>
          <w:sz w:val="24"/>
          <w:szCs w:val="24"/>
          <w:vertAlign w:val="baseline"/>
          <w:lang w:eastAsia="en-US"/>
        </w:rPr>
        <w:t xml:space="preserve">  </w:t>
      </w:r>
    </w:p>
    <w:p w:rsidR="00DC1919" w:rsidRDefault="00DC1919" w:rsidP="00E7372D">
      <w:pPr>
        <w:jc w:val="both"/>
        <w:rPr>
          <w:rFonts w:eastAsia="Times New Roman"/>
          <w:sz w:val="24"/>
          <w:szCs w:val="24"/>
          <w:vertAlign w:val="baseline"/>
          <w:lang w:eastAsia="en-US"/>
        </w:rPr>
      </w:pPr>
    </w:p>
    <w:p w:rsidR="00716F74" w:rsidRDefault="00716F74" w:rsidP="00E7372D">
      <w:pPr>
        <w:jc w:val="both"/>
        <w:rPr>
          <w:rFonts w:eastAsia="Times New Roman"/>
          <w:sz w:val="24"/>
          <w:szCs w:val="24"/>
          <w:vertAlign w:val="baseline"/>
          <w:lang w:eastAsia="en-US"/>
        </w:rPr>
      </w:pPr>
      <w:r w:rsidRPr="00716F74">
        <w:rPr>
          <w:rFonts w:eastAsia="Times New Roman"/>
          <w:sz w:val="24"/>
          <w:szCs w:val="24"/>
          <w:vertAlign w:val="baseline"/>
          <w:lang w:eastAsia="en-US"/>
        </w:rPr>
        <w:t>(7)</w:t>
      </w:r>
      <w:r>
        <w:rPr>
          <w:rStyle w:val="DipnotBavurusu"/>
          <w:rFonts w:eastAsia="Times New Roman"/>
          <w:sz w:val="24"/>
          <w:szCs w:val="24"/>
          <w:lang w:eastAsia="en-US"/>
        </w:rPr>
        <w:footnoteReference w:id="25"/>
      </w:r>
      <w:r w:rsidRPr="00716F74">
        <w:rPr>
          <w:rFonts w:eastAsia="Times New Roman"/>
          <w:sz w:val="24"/>
          <w:szCs w:val="24"/>
          <w:vertAlign w:val="baseline"/>
          <w:lang w:eastAsia="en-US"/>
        </w:rPr>
        <w:t xml:space="preserve"> Modüler hücreli sisteme dönüşüm yapılan mevcut açık şalt binalarındaki; beton kablo kanalı, trafo binası tadilatları, trafo binası çatı yenileme gibi inşaat işleri için yapılan harcamalar bu karakteristikte raporlanır.</w:t>
      </w:r>
    </w:p>
    <w:p w:rsidR="00716F74" w:rsidRPr="00E346B5" w:rsidRDefault="00716F74" w:rsidP="00E7372D">
      <w:pPr>
        <w:jc w:val="both"/>
        <w:rPr>
          <w:rFonts w:eastAsia="Times New Roman"/>
          <w:sz w:val="24"/>
          <w:szCs w:val="24"/>
          <w:vertAlign w:val="baseline"/>
          <w:lang w:eastAsia="en-US"/>
        </w:rPr>
      </w:pPr>
    </w:p>
    <w:p w:rsidR="00A46325" w:rsidRPr="00E346B5" w:rsidRDefault="00F04C16" w:rsidP="00E67773">
      <w:pPr>
        <w:pStyle w:val="Metin"/>
        <w:spacing w:after="0"/>
        <w:rPr>
          <w:b/>
        </w:rPr>
      </w:pPr>
      <w:r w:rsidRPr="00E346B5">
        <w:rPr>
          <w:b/>
        </w:rPr>
        <w:t>Çevre, Güvenlik ve Diğer Yasal Zorunluluğu Olan Y</w:t>
      </w:r>
      <w:r w:rsidR="00A46325" w:rsidRPr="00E346B5">
        <w:rPr>
          <w:b/>
        </w:rPr>
        <w:t>atırımlar</w:t>
      </w:r>
    </w:p>
    <w:p w:rsidR="00A147CA" w:rsidRPr="00E346B5" w:rsidRDefault="002008B5" w:rsidP="00A147CA">
      <w:pPr>
        <w:pStyle w:val="Metin"/>
        <w:spacing w:after="0"/>
      </w:pPr>
      <w:r w:rsidRPr="00E346B5">
        <w:rPr>
          <w:b/>
        </w:rPr>
        <w:t>Madde</w:t>
      </w:r>
      <w:r w:rsidR="00600240" w:rsidRPr="00E346B5">
        <w:rPr>
          <w:b/>
        </w:rPr>
        <w:t xml:space="preserve"> </w:t>
      </w:r>
      <w:r w:rsidRPr="00E346B5">
        <w:rPr>
          <w:b/>
        </w:rPr>
        <w:t>11</w:t>
      </w:r>
      <w:r w:rsidR="003025CC" w:rsidRPr="00E346B5">
        <w:t xml:space="preserve">- </w:t>
      </w:r>
      <w:r w:rsidR="00A147CA" w:rsidRPr="00E346B5">
        <w:t>(1)</w:t>
      </w:r>
      <w:r w:rsidR="00716F74">
        <w:rPr>
          <w:rStyle w:val="DipnotBavurusu"/>
        </w:rPr>
        <w:footnoteReference w:id="26"/>
      </w:r>
      <w:r w:rsidR="00A147CA" w:rsidRPr="00E346B5">
        <w:t xml:space="preserve"> </w:t>
      </w:r>
      <w:r w:rsidR="00716F74" w:rsidRPr="003F6BD9">
        <w:t xml:space="preserve">Dağıtım şirketlerinin lisansları kapsamında faaliyet ve/veya alt faaliyetlerinin yürütülmesi için Kanun ve ikincil mevzuatı dışındaki diğer yasal zorunluluklar nedeniyle yapılması gereken harcamalar Çevre, Güvenlik ve Diğer Yasal Zorunluluğu Olan Yatırımlar olarak değerlendirilir. Kamulaştırma (kamulaştırma harcamaları ilgili projelerin gerçekleştirildiği yıldan bağımsız olarak harcamanın yapıldığı yıla ait), Enerji ve Tabii Kaynaklar Bakanlığı’na veya yetkilendirdiği kurum veya kuruluşlara ödenen kabul ve proje onay bedelleri, ilgili kamu kurum ve kuruluşlarına ödenen; yol geçiş bedeli, enine geçiş arazi kullanım bedeli, kontrollük hizmet bedelleri, zemin tahrip bedeli (birim bedelli işler için zemin sökme ve yapma bedelinin birim bedel hesabına dahil olmaması halinde bu kapsamda değerlendirilecektir), Türkiye Elektrik İletim A.Ş. tarafından Trafo Merkezi şalt sahasında veya diğer kamu kurum ve kuruluşları tarafından beton kablo kanalı (galeri) </w:t>
      </w:r>
      <w:r w:rsidR="00716F74" w:rsidRPr="003F6BD9">
        <w:rPr>
          <w:spacing w:val="-2"/>
        </w:rPr>
        <w:t xml:space="preserve">yapımının zorunlu tutulması halinde beton kablo kanalı bedelleri, istinat duvarı yapımının </w:t>
      </w:r>
      <w:r w:rsidR="00716F74" w:rsidRPr="003F6BD9">
        <w:t xml:space="preserve">zorunlu olması halinde trafo binalarının etrafına yapılan istinat duvarları ile ilgili harcamalar çevre, güvenlik ve diğer yasal zorunluluğu olan yatırım harcaması olarak değerlendirilir. Türkiye Elektrik İletim A.Ş. tarafından Trafo Merkezi şalt sahasında veya diğer kamu kurum ve kuruluşları tarafından beton kablo kanalı (galeri) </w:t>
      </w:r>
      <w:r w:rsidR="00716F74">
        <w:t xml:space="preserve">veya istinat duvarı </w:t>
      </w:r>
      <w:r w:rsidR="00716F74" w:rsidRPr="003F6BD9">
        <w:rPr>
          <w:spacing w:val="-2"/>
        </w:rPr>
        <w:t>yapımının zorunlu olduğuna dair ispatla</w:t>
      </w:r>
      <w:r w:rsidR="00716F74">
        <w:rPr>
          <w:spacing w:val="-2"/>
        </w:rPr>
        <w:t>y</w:t>
      </w:r>
      <w:r w:rsidR="00716F74" w:rsidRPr="003F6BD9">
        <w:rPr>
          <w:spacing w:val="-2"/>
        </w:rPr>
        <w:t>ıcı bilgi ve belgeler işin dosyasında muhafaza edilir.</w:t>
      </w:r>
    </w:p>
    <w:p w:rsidR="00BC2BB2" w:rsidRPr="00E346B5" w:rsidRDefault="00BC2BB2" w:rsidP="00E67773">
      <w:pPr>
        <w:pStyle w:val="Metin"/>
        <w:spacing w:after="0"/>
      </w:pPr>
    </w:p>
    <w:p w:rsidR="00BC2BB2" w:rsidRPr="00E346B5" w:rsidRDefault="00C60209" w:rsidP="00E67773">
      <w:pPr>
        <w:pStyle w:val="Metin"/>
        <w:spacing w:after="0"/>
      </w:pPr>
      <w:r w:rsidRPr="00E346B5">
        <w:t>(</w:t>
      </w:r>
      <w:r w:rsidR="008B3AEB" w:rsidRPr="00E346B5">
        <w:t>2</w:t>
      </w:r>
      <w:r w:rsidR="00BC2BB2" w:rsidRPr="00E346B5">
        <w:t xml:space="preserve">) Elektrik Piyasası Bağlantı ve Sistem Kullanım Yönetmeliğinin 21 inci maddesi, 37 inci maddesi, 38 inci maddesinin ikinci fıkrası ile Geçici </w:t>
      </w:r>
      <w:r w:rsidR="002D67B6" w:rsidRPr="00E346B5">
        <w:t>2 inci m</w:t>
      </w:r>
      <w:r w:rsidR="00BC2BB2" w:rsidRPr="00E346B5">
        <w:t>adde</w:t>
      </w:r>
      <w:r w:rsidR="002D67B6" w:rsidRPr="00E346B5">
        <w:t xml:space="preserve">si </w:t>
      </w:r>
      <w:r w:rsidR="00BC2BB2" w:rsidRPr="00E346B5">
        <w:t xml:space="preserve">kapsamında yapılan devirlere ilişkin geri ödemeler </w:t>
      </w:r>
      <w:r w:rsidR="00231796" w:rsidRPr="00E346B5">
        <w:t>de Ç</w:t>
      </w:r>
      <w:r w:rsidR="00BC2BB2" w:rsidRPr="00E346B5">
        <w:t xml:space="preserve">evre, </w:t>
      </w:r>
      <w:r w:rsidR="00231796" w:rsidRPr="00E346B5">
        <w:t>G</w:t>
      </w:r>
      <w:r w:rsidR="00BC2BB2" w:rsidRPr="00E346B5">
        <w:t xml:space="preserve">üvenlik ve </w:t>
      </w:r>
      <w:r w:rsidR="00231796" w:rsidRPr="00E346B5">
        <w:t>D</w:t>
      </w:r>
      <w:r w:rsidR="00BC2BB2" w:rsidRPr="00E346B5">
        <w:t xml:space="preserve">iğer </w:t>
      </w:r>
      <w:r w:rsidR="00231796" w:rsidRPr="00E346B5">
        <w:t>Y</w:t>
      </w:r>
      <w:r w:rsidR="00BC2BB2" w:rsidRPr="00E346B5">
        <w:t xml:space="preserve">asal </w:t>
      </w:r>
      <w:r w:rsidR="00231796" w:rsidRPr="00E346B5">
        <w:t>Z</w:t>
      </w:r>
      <w:r w:rsidR="00BC2BB2" w:rsidRPr="00E346B5">
        <w:t xml:space="preserve">orunluluğu </w:t>
      </w:r>
      <w:r w:rsidR="00231796" w:rsidRPr="00E346B5">
        <w:t>O</w:t>
      </w:r>
      <w:r w:rsidR="00BC2BB2" w:rsidRPr="00E346B5">
        <w:t xml:space="preserve">lan </w:t>
      </w:r>
      <w:r w:rsidR="00231796" w:rsidRPr="00E346B5">
        <w:t>Y</w:t>
      </w:r>
      <w:r w:rsidR="00BC2BB2" w:rsidRPr="00E346B5">
        <w:t>atırım</w:t>
      </w:r>
      <w:r w:rsidR="00231796" w:rsidRPr="00E346B5">
        <w:t>lar içerisinde</w:t>
      </w:r>
      <w:r w:rsidR="00BC2BB2" w:rsidRPr="00E346B5">
        <w:t xml:space="preserve"> değerlendirilir. </w:t>
      </w:r>
    </w:p>
    <w:p w:rsidR="00D91366" w:rsidRPr="00E346B5" w:rsidRDefault="00D91366" w:rsidP="00E67773">
      <w:pPr>
        <w:jc w:val="both"/>
        <w:rPr>
          <w:rFonts w:eastAsia="Times New Roman"/>
          <w:sz w:val="24"/>
          <w:szCs w:val="24"/>
          <w:vertAlign w:val="baseline"/>
          <w:lang w:eastAsia="en-US"/>
        </w:rPr>
      </w:pPr>
    </w:p>
    <w:p w:rsidR="00571D7A" w:rsidRPr="00E346B5" w:rsidRDefault="00571D7A" w:rsidP="00E67773">
      <w:pPr>
        <w:jc w:val="both"/>
        <w:rPr>
          <w:rFonts w:eastAsia="Times New Roman"/>
          <w:sz w:val="24"/>
          <w:szCs w:val="24"/>
          <w:vertAlign w:val="baseline"/>
          <w:lang w:eastAsia="en-US"/>
        </w:rPr>
      </w:pPr>
    </w:p>
    <w:p w:rsidR="00300E9C" w:rsidRPr="00E346B5" w:rsidRDefault="00F04C16" w:rsidP="00E67773">
      <w:pPr>
        <w:jc w:val="both"/>
        <w:rPr>
          <w:rFonts w:eastAsia="Times New Roman"/>
          <w:b/>
          <w:sz w:val="24"/>
          <w:szCs w:val="24"/>
          <w:vertAlign w:val="baseline"/>
          <w:lang w:eastAsia="en-US"/>
        </w:rPr>
      </w:pPr>
      <w:r w:rsidRPr="00E346B5">
        <w:rPr>
          <w:rFonts w:eastAsia="Times New Roman"/>
          <w:b/>
          <w:sz w:val="24"/>
          <w:szCs w:val="24"/>
          <w:vertAlign w:val="baseline"/>
          <w:lang w:eastAsia="en-US"/>
        </w:rPr>
        <w:t>Şebeke İşletim Sistemi Yatırımları</w:t>
      </w:r>
    </w:p>
    <w:p w:rsidR="00EF2841" w:rsidRPr="00E346B5" w:rsidRDefault="002008B5" w:rsidP="00E67773">
      <w:pPr>
        <w:jc w:val="both"/>
        <w:rPr>
          <w:rFonts w:eastAsia="Times New Roman"/>
          <w:sz w:val="24"/>
          <w:szCs w:val="24"/>
          <w:vertAlign w:val="baseline"/>
          <w:lang w:eastAsia="en-US"/>
        </w:rPr>
      </w:pPr>
      <w:r w:rsidRPr="00E346B5">
        <w:rPr>
          <w:rFonts w:eastAsia="Times New Roman"/>
          <w:b/>
          <w:sz w:val="24"/>
          <w:szCs w:val="24"/>
          <w:vertAlign w:val="baseline"/>
          <w:lang w:eastAsia="en-US"/>
        </w:rPr>
        <w:t>Madde</w:t>
      </w:r>
      <w:r w:rsidR="00600240" w:rsidRPr="00E346B5">
        <w:rPr>
          <w:rFonts w:eastAsia="Times New Roman"/>
          <w:b/>
          <w:sz w:val="24"/>
          <w:szCs w:val="24"/>
          <w:vertAlign w:val="baseline"/>
          <w:lang w:eastAsia="en-US"/>
        </w:rPr>
        <w:t xml:space="preserve"> </w:t>
      </w:r>
      <w:r w:rsidRPr="00E346B5">
        <w:rPr>
          <w:rFonts w:eastAsia="Times New Roman"/>
          <w:b/>
          <w:sz w:val="24"/>
          <w:szCs w:val="24"/>
          <w:vertAlign w:val="baseline"/>
          <w:lang w:eastAsia="en-US"/>
        </w:rPr>
        <w:t>12</w:t>
      </w:r>
      <w:r w:rsidR="00EF2841" w:rsidRPr="00E346B5">
        <w:rPr>
          <w:rFonts w:eastAsia="Times New Roman"/>
          <w:b/>
          <w:sz w:val="24"/>
          <w:szCs w:val="24"/>
          <w:vertAlign w:val="baseline"/>
          <w:lang w:eastAsia="en-US"/>
        </w:rPr>
        <w:t>-</w:t>
      </w:r>
      <w:r w:rsidR="00EF2841" w:rsidRPr="00E346B5">
        <w:rPr>
          <w:rFonts w:eastAsia="Times New Roman"/>
          <w:sz w:val="24"/>
          <w:szCs w:val="24"/>
          <w:vertAlign w:val="baseline"/>
          <w:lang w:eastAsia="en-US"/>
        </w:rPr>
        <w:t xml:space="preserve"> (1)</w:t>
      </w:r>
      <w:r w:rsidR="00716F74">
        <w:rPr>
          <w:rStyle w:val="DipnotBavurusu"/>
          <w:rFonts w:eastAsia="Times New Roman"/>
          <w:sz w:val="24"/>
          <w:szCs w:val="24"/>
          <w:lang w:eastAsia="en-US"/>
        </w:rPr>
        <w:footnoteReference w:id="27"/>
      </w:r>
      <w:r w:rsidR="00EF2841" w:rsidRPr="00E346B5">
        <w:rPr>
          <w:rFonts w:eastAsia="Times New Roman"/>
          <w:sz w:val="24"/>
          <w:szCs w:val="24"/>
          <w:vertAlign w:val="baseline"/>
          <w:lang w:eastAsia="en-US"/>
        </w:rPr>
        <w:t xml:space="preserve"> </w:t>
      </w:r>
      <w:r w:rsidR="00716F74" w:rsidRPr="00716F74">
        <w:rPr>
          <w:rFonts w:eastAsia="Times New Roman"/>
          <w:sz w:val="24"/>
          <w:szCs w:val="24"/>
          <w:vertAlign w:val="baseline"/>
          <w:lang w:eastAsia="en-US"/>
        </w:rPr>
        <w:t xml:space="preserve">Şebeke işletimi için ilgili mevzuat kapsamında yapılması gerekli olan ve Vergi Usul Kanunu ve diğer ilgili mali mevzuata uygun olarak aktifleştirilebilen; haberleşme özelliğine sahip röleler dahil uzaktan izleme ve kontrol sistemleri, coğrafi bilgi sistemleri, OSOS, kullanıcı </w:t>
      </w:r>
      <w:r w:rsidR="00716F74" w:rsidRPr="00716F74">
        <w:rPr>
          <w:rFonts w:eastAsia="Times New Roman"/>
          <w:sz w:val="24"/>
          <w:szCs w:val="24"/>
          <w:vertAlign w:val="baseline"/>
          <w:lang w:eastAsia="en-US"/>
        </w:rPr>
        <w:lastRenderedPageBreak/>
        <w:t>yönetim ve izleme sistemleri ile söz konusu yatırımların mütemmim cüzü niteliğinde olan donanım, yazılım, lisans harcamaları ve bu sistemlerin kullanımı için gerekli bilişim sistemi ve teknoloji yatırımlarına ilişkin harcamalar Şebeke İşletim Sistemi Yatırımları olarak değerlendirilir.</w:t>
      </w:r>
      <w:r w:rsidR="00716F74">
        <w:rPr>
          <w:rFonts w:eastAsia="Times New Roman"/>
          <w:sz w:val="24"/>
          <w:szCs w:val="24"/>
          <w:vertAlign w:val="baseline"/>
          <w:lang w:eastAsia="en-US"/>
        </w:rPr>
        <w:t xml:space="preserve"> </w:t>
      </w:r>
    </w:p>
    <w:p w:rsidR="00801451" w:rsidRPr="00E346B5" w:rsidRDefault="00801451" w:rsidP="00E67773">
      <w:pPr>
        <w:jc w:val="both"/>
        <w:rPr>
          <w:rFonts w:eastAsia="Times New Roman"/>
          <w:sz w:val="24"/>
          <w:szCs w:val="24"/>
          <w:vertAlign w:val="baseline"/>
          <w:lang w:eastAsia="en-US"/>
        </w:rPr>
      </w:pPr>
    </w:p>
    <w:p w:rsidR="00D84A65" w:rsidRPr="00E346B5" w:rsidRDefault="00D84A65" w:rsidP="00E67773">
      <w:pPr>
        <w:jc w:val="both"/>
        <w:rPr>
          <w:rFonts w:eastAsia="Times New Roman"/>
          <w:sz w:val="24"/>
          <w:szCs w:val="24"/>
          <w:vertAlign w:val="baseline"/>
          <w:lang w:eastAsia="en-US"/>
        </w:rPr>
      </w:pPr>
      <w:r w:rsidRPr="00E346B5">
        <w:rPr>
          <w:rFonts w:eastAsia="Times New Roman"/>
          <w:sz w:val="24"/>
          <w:szCs w:val="24"/>
          <w:vertAlign w:val="baseline"/>
          <w:lang w:eastAsia="en-US"/>
        </w:rPr>
        <w:t>(2)</w:t>
      </w:r>
      <w:r w:rsidR="00716F74">
        <w:rPr>
          <w:rStyle w:val="DipnotBavurusu"/>
          <w:rFonts w:eastAsia="Times New Roman"/>
          <w:sz w:val="24"/>
          <w:szCs w:val="24"/>
          <w:lang w:eastAsia="en-US"/>
        </w:rPr>
        <w:footnoteReference w:id="28"/>
      </w:r>
      <w:r w:rsidRPr="00E346B5">
        <w:rPr>
          <w:rFonts w:eastAsia="Times New Roman"/>
          <w:sz w:val="24"/>
          <w:szCs w:val="24"/>
          <w:vertAlign w:val="baseline"/>
          <w:lang w:eastAsia="en-US"/>
        </w:rPr>
        <w:t xml:space="preserve"> </w:t>
      </w:r>
      <w:r w:rsidR="00716F74" w:rsidRPr="00716F74">
        <w:rPr>
          <w:rFonts w:eastAsia="Times New Roman"/>
          <w:sz w:val="24"/>
          <w:szCs w:val="24"/>
          <w:vertAlign w:val="baseline"/>
          <w:lang w:eastAsia="en-US"/>
        </w:rPr>
        <w:t>Şebeke işletimi için yapılacak olan yatırımlar kapsamında şebekede yapılacak olan modüler hücre dönüşümü, hücre ilavesi gibi dağıtım tesisine ait tesis işleri Şebeke Yatırımlarında raporlanır.</w:t>
      </w:r>
    </w:p>
    <w:p w:rsidR="005171D7" w:rsidRPr="00E346B5" w:rsidRDefault="005171D7" w:rsidP="00E67773">
      <w:pPr>
        <w:jc w:val="both"/>
        <w:rPr>
          <w:rFonts w:eastAsia="Times New Roman"/>
          <w:sz w:val="24"/>
          <w:szCs w:val="24"/>
          <w:vertAlign w:val="baseline"/>
          <w:lang w:eastAsia="en-US"/>
        </w:rPr>
      </w:pPr>
    </w:p>
    <w:p w:rsidR="005171D7" w:rsidRPr="00E346B5" w:rsidRDefault="005171D7" w:rsidP="00E67773">
      <w:pPr>
        <w:jc w:val="both"/>
        <w:rPr>
          <w:rFonts w:eastAsia="Times New Roman"/>
          <w:sz w:val="24"/>
          <w:szCs w:val="24"/>
          <w:vertAlign w:val="baseline"/>
          <w:lang w:eastAsia="en-US"/>
        </w:rPr>
      </w:pPr>
      <w:r w:rsidRPr="00E346B5">
        <w:rPr>
          <w:rFonts w:eastAsia="Times New Roman"/>
          <w:sz w:val="24"/>
          <w:szCs w:val="24"/>
          <w:vertAlign w:val="baseline"/>
          <w:lang w:eastAsia="en-US"/>
        </w:rPr>
        <w:t>(</w:t>
      </w:r>
      <w:r w:rsidR="00D8588D" w:rsidRPr="00E346B5">
        <w:rPr>
          <w:rFonts w:eastAsia="Times New Roman"/>
          <w:sz w:val="24"/>
          <w:szCs w:val="24"/>
          <w:vertAlign w:val="baseline"/>
          <w:lang w:eastAsia="en-US"/>
        </w:rPr>
        <w:t>3</w:t>
      </w:r>
      <w:r w:rsidRPr="00E346B5">
        <w:rPr>
          <w:rFonts w:eastAsia="Times New Roman"/>
          <w:sz w:val="24"/>
          <w:szCs w:val="24"/>
          <w:vertAlign w:val="baseline"/>
          <w:lang w:eastAsia="en-US"/>
        </w:rPr>
        <w:t>) Şebeke işletimi için dağıtım şirketinin planlaması uyarınca dağıtım sisteminde tahakkuka esas olmayan, OSOS</w:t>
      </w:r>
      <w:r w:rsidR="00231796" w:rsidRPr="00E346B5">
        <w:rPr>
          <w:rFonts w:eastAsia="Times New Roman"/>
          <w:sz w:val="24"/>
          <w:szCs w:val="24"/>
          <w:vertAlign w:val="baseline"/>
          <w:lang w:eastAsia="en-US"/>
        </w:rPr>
        <w:t>’a ilişkin</w:t>
      </w:r>
      <w:r w:rsidRPr="00E346B5">
        <w:rPr>
          <w:rFonts w:eastAsia="Times New Roman"/>
          <w:sz w:val="24"/>
          <w:szCs w:val="24"/>
          <w:vertAlign w:val="baseline"/>
          <w:lang w:eastAsia="en-US"/>
        </w:rPr>
        <w:t xml:space="preserve"> mevzuat</w:t>
      </w:r>
      <w:r w:rsidR="00231796" w:rsidRPr="00E346B5">
        <w:rPr>
          <w:rFonts w:eastAsia="Times New Roman"/>
          <w:sz w:val="24"/>
          <w:szCs w:val="24"/>
          <w:vertAlign w:val="baseline"/>
          <w:lang w:eastAsia="en-US"/>
        </w:rPr>
        <w:t>ta</w:t>
      </w:r>
      <w:r w:rsidRPr="00E346B5">
        <w:rPr>
          <w:rFonts w:eastAsia="Times New Roman"/>
          <w:sz w:val="24"/>
          <w:szCs w:val="24"/>
          <w:vertAlign w:val="baseline"/>
          <w:lang w:eastAsia="en-US"/>
        </w:rPr>
        <w:t xml:space="preserve"> da olmayan ancak uzaktan ölçme ve kontrolü sağlayan sayaç, analizör veya diğer koruma, kontrol, kumanda teçhizatları</w:t>
      </w:r>
      <w:r w:rsidR="009B45F1" w:rsidRPr="00E346B5">
        <w:rPr>
          <w:rFonts w:eastAsia="Times New Roman"/>
          <w:sz w:val="24"/>
          <w:szCs w:val="24"/>
          <w:vertAlign w:val="baseline"/>
          <w:lang w:eastAsia="en-US"/>
        </w:rPr>
        <w:t>na ilişkin yatırım harcamaları da</w:t>
      </w:r>
      <w:r w:rsidRPr="00E346B5">
        <w:rPr>
          <w:rFonts w:eastAsia="Times New Roman"/>
          <w:sz w:val="24"/>
          <w:szCs w:val="24"/>
          <w:vertAlign w:val="baseline"/>
          <w:lang w:eastAsia="en-US"/>
        </w:rPr>
        <w:t xml:space="preserve"> </w:t>
      </w:r>
      <w:r w:rsidR="00231796" w:rsidRPr="00E346B5">
        <w:rPr>
          <w:rFonts w:eastAsia="Times New Roman"/>
          <w:sz w:val="24"/>
          <w:szCs w:val="24"/>
          <w:vertAlign w:val="baseline"/>
          <w:lang w:eastAsia="en-US"/>
        </w:rPr>
        <w:t>Şebeke İşletim Sistemi Yatırımları içerisinde</w:t>
      </w:r>
      <w:r w:rsidRPr="00E346B5">
        <w:rPr>
          <w:rFonts w:eastAsia="Times New Roman"/>
          <w:sz w:val="24"/>
          <w:szCs w:val="24"/>
          <w:vertAlign w:val="baseline"/>
          <w:lang w:eastAsia="en-US"/>
        </w:rPr>
        <w:t xml:space="preserve"> raporlanır.</w:t>
      </w:r>
    </w:p>
    <w:p w:rsidR="00D84A65" w:rsidRPr="00E346B5" w:rsidRDefault="00D84A65" w:rsidP="00E67773">
      <w:pPr>
        <w:jc w:val="both"/>
        <w:rPr>
          <w:rFonts w:eastAsia="Times New Roman"/>
          <w:sz w:val="24"/>
          <w:szCs w:val="24"/>
          <w:vertAlign w:val="baseline"/>
          <w:lang w:eastAsia="en-US"/>
        </w:rPr>
      </w:pPr>
    </w:p>
    <w:p w:rsidR="00801451" w:rsidRPr="00E346B5" w:rsidRDefault="00CE5234" w:rsidP="00E67773">
      <w:pPr>
        <w:jc w:val="both"/>
        <w:rPr>
          <w:rFonts w:eastAsia="Times New Roman"/>
          <w:sz w:val="24"/>
          <w:szCs w:val="24"/>
          <w:vertAlign w:val="baseline"/>
          <w:lang w:eastAsia="en-US"/>
        </w:rPr>
      </w:pPr>
      <w:r w:rsidRPr="00E346B5">
        <w:rPr>
          <w:rFonts w:eastAsia="Times New Roman"/>
          <w:sz w:val="24"/>
          <w:szCs w:val="24"/>
          <w:vertAlign w:val="baseline"/>
          <w:lang w:eastAsia="en-US"/>
        </w:rPr>
        <w:t>(</w:t>
      </w:r>
      <w:r w:rsidR="00D8588D" w:rsidRPr="00E346B5">
        <w:rPr>
          <w:rFonts w:eastAsia="Times New Roman"/>
          <w:sz w:val="24"/>
          <w:szCs w:val="24"/>
          <w:vertAlign w:val="baseline"/>
          <w:lang w:eastAsia="en-US"/>
        </w:rPr>
        <w:t>4</w:t>
      </w:r>
      <w:r w:rsidR="00801451" w:rsidRPr="00E346B5">
        <w:rPr>
          <w:rFonts w:eastAsia="Times New Roman"/>
          <w:sz w:val="24"/>
          <w:szCs w:val="24"/>
          <w:vertAlign w:val="baseline"/>
          <w:lang w:eastAsia="en-US"/>
        </w:rPr>
        <w:t xml:space="preserve">) Bu madde kapsamında yapılan işler için alınacak olan yazılım, proje veya lisanslar da mütemmim cüz olarak </w:t>
      </w:r>
      <w:r w:rsidR="00231796" w:rsidRPr="00E346B5">
        <w:rPr>
          <w:rFonts w:eastAsia="Times New Roman"/>
          <w:sz w:val="24"/>
          <w:szCs w:val="24"/>
          <w:vertAlign w:val="baseline"/>
          <w:lang w:eastAsia="en-US"/>
        </w:rPr>
        <w:t>Ş</w:t>
      </w:r>
      <w:r w:rsidR="00801451" w:rsidRPr="00E346B5">
        <w:rPr>
          <w:rFonts w:eastAsia="Times New Roman"/>
          <w:sz w:val="24"/>
          <w:szCs w:val="24"/>
          <w:vertAlign w:val="baseline"/>
          <w:lang w:eastAsia="en-US"/>
        </w:rPr>
        <w:t xml:space="preserve">ebeke </w:t>
      </w:r>
      <w:r w:rsidR="00231796" w:rsidRPr="00E346B5">
        <w:rPr>
          <w:rFonts w:eastAsia="Times New Roman"/>
          <w:sz w:val="24"/>
          <w:szCs w:val="24"/>
          <w:vertAlign w:val="baseline"/>
          <w:lang w:eastAsia="en-US"/>
        </w:rPr>
        <w:t>İ</w:t>
      </w:r>
      <w:r w:rsidR="00801451" w:rsidRPr="00E346B5">
        <w:rPr>
          <w:rFonts w:eastAsia="Times New Roman"/>
          <w:sz w:val="24"/>
          <w:szCs w:val="24"/>
          <w:vertAlign w:val="baseline"/>
          <w:lang w:eastAsia="en-US"/>
        </w:rPr>
        <w:t xml:space="preserve">şletim </w:t>
      </w:r>
      <w:r w:rsidR="00231796" w:rsidRPr="00E346B5">
        <w:rPr>
          <w:rFonts w:eastAsia="Times New Roman"/>
          <w:sz w:val="24"/>
          <w:szCs w:val="24"/>
          <w:vertAlign w:val="baseline"/>
          <w:lang w:eastAsia="en-US"/>
        </w:rPr>
        <w:t>S</w:t>
      </w:r>
      <w:r w:rsidR="00801451" w:rsidRPr="00E346B5">
        <w:rPr>
          <w:rFonts w:eastAsia="Times New Roman"/>
          <w:sz w:val="24"/>
          <w:szCs w:val="24"/>
          <w:vertAlign w:val="baseline"/>
          <w:lang w:eastAsia="en-US"/>
        </w:rPr>
        <w:t xml:space="preserve">istemi </w:t>
      </w:r>
      <w:r w:rsidR="00231796" w:rsidRPr="00E346B5">
        <w:rPr>
          <w:rFonts w:eastAsia="Times New Roman"/>
          <w:sz w:val="24"/>
          <w:szCs w:val="24"/>
          <w:vertAlign w:val="baseline"/>
          <w:lang w:eastAsia="en-US"/>
        </w:rPr>
        <w:t>Y</w:t>
      </w:r>
      <w:r w:rsidR="00801451" w:rsidRPr="00E346B5">
        <w:rPr>
          <w:rFonts w:eastAsia="Times New Roman"/>
          <w:sz w:val="24"/>
          <w:szCs w:val="24"/>
          <w:vertAlign w:val="baseline"/>
          <w:lang w:eastAsia="en-US"/>
        </w:rPr>
        <w:t>atırım</w:t>
      </w:r>
      <w:r w:rsidR="00231796" w:rsidRPr="00E346B5">
        <w:rPr>
          <w:rFonts w:eastAsia="Times New Roman"/>
          <w:sz w:val="24"/>
          <w:szCs w:val="24"/>
          <w:vertAlign w:val="baseline"/>
          <w:lang w:eastAsia="en-US"/>
        </w:rPr>
        <w:t>lar</w:t>
      </w:r>
      <w:r w:rsidR="00801451" w:rsidRPr="00E346B5">
        <w:rPr>
          <w:rFonts w:eastAsia="Times New Roman"/>
          <w:sz w:val="24"/>
          <w:szCs w:val="24"/>
          <w:vertAlign w:val="baseline"/>
          <w:lang w:eastAsia="en-US"/>
        </w:rPr>
        <w:t xml:space="preserve">ı </w:t>
      </w:r>
      <w:r w:rsidR="00231796" w:rsidRPr="00E346B5">
        <w:rPr>
          <w:rFonts w:eastAsia="Times New Roman"/>
          <w:sz w:val="24"/>
          <w:szCs w:val="24"/>
          <w:vertAlign w:val="baseline"/>
          <w:lang w:eastAsia="en-US"/>
        </w:rPr>
        <w:t>kapsamında</w:t>
      </w:r>
      <w:r w:rsidR="00801451" w:rsidRPr="00E346B5">
        <w:rPr>
          <w:rFonts w:eastAsia="Times New Roman"/>
          <w:sz w:val="24"/>
          <w:szCs w:val="24"/>
          <w:vertAlign w:val="baseline"/>
          <w:lang w:eastAsia="en-US"/>
        </w:rPr>
        <w:t xml:space="preserve"> değerlendirilir.</w:t>
      </w:r>
    </w:p>
    <w:p w:rsidR="004A7616" w:rsidRPr="00E346B5" w:rsidRDefault="004A7616" w:rsidP="00E67773">
      <w:pPr>
        <w:jc w:val="both"/>
        <w:rPr>
          <w:rFonts w:eastAsia="Times New Roman"/>
          <w:sz w:val="24"/>
          <w:szCs w:val="24"/>
          <w:vertAlign w:val="baseline"/>
          <w:lang w:eastAsia="en-US"/>
        </w:rPr>
      </w:pPr>
    </w:p>
    <w:p w:rsidR="007C199E" w:rsidRDefault="004A7616" w:rsidP="00E67773">
      <w:pPr>
        <w:jc w:val="both"/>
        <w:rPr>
          <w:rFonts w:eastAsia="Times New Roman"/>
          <w:sz w:val="24"/>
          <w:szCs w:val="24"/>
          <w:vertAlign w:val="baseline"/>
          <w:lang w:eastAsia="en-US"/>
        </w:rPr>
      </w:pPr>
      <w:r w:rsidRPr="00E346B5">
        <w:rPr>
          <w:rFonts w:eastAsia="Times New Roman"/>
          <w:sz w:val="24"/>
          <w:szCs w:val="24"/>
          <w:vertAlign w:val="baseline"/>
          <w:lang w:eastAsia="en-US"/>
        </w:rPr>
        <w:t>(</w:t>
      </w:r>
      <w:r w:rsidR="00581928" w:rsidRPr="00E346B5">
        <w:rPr>
          <w:rFonts w:eastAsia="Times New Roman"/>
          <w:sz w:val="24"/>
          <w:szCs w:val="24"/>
          <w:vertAlign w:val="baseline"/>
          <w:lang w:eastAsia="en-US"/>
        </w:rPr>
        <w:t>5</w:t>
      </w:r>
      <w:r w:rsidR="007C199E" w:rsidRPr="00E346B5">
        <w:rPr>
          <w:rFonts w:eastAsia="Times New Roman"/>
          <w:sz w:val="24"/>
          <w:szCs w:val="24"/>
          <w:vertAlign w:val="baseline"/>
          <w:lang w:eastAsia="en-US"/>
        </w:rPr>
        <w:t xml:space="preserve">) Bu madde kapsamında </w:t>
      </w:r>
      <w:r w:rsidR="00FB73B7" w:rsidRPr="00E346B5">
        <w:rPr>
          <w:rFonts w:eastAsia="Times New Roman"/>
          <w:sz w:val="24"/>
          <w:szCs w:val="24"/>
          <w:vertAlign w:val="baseline"/>
          <w:lang w:eastAsia="en-US"/>
        </w:rPr>
        <w:t xml:space="preserve">uygulama dönemi boyunca </w:t>
      </w:r>
      <w:r w:rsidR="007C199E" w:rsidRPr="00E346B5">
        <w:rPr>
          <w:rFonts w:eastAsia="Times New Roman"/>
          <w:sz w:val="24"/>
          <w:szCs w:val="24"/>
          <w:vertAlign w:val="baseline"/>
          <w:lang w:eastAsia="en-US"/>
        </w:rPr>
        <w:t xml:space="preserve">yapılacak olan harcamaların </w:t>
      </w:r>
      <w:r w:rsidR="00031A4B" w:rsidRPr="00E346B5">
        <w:rPr>
          <w:rFonts w:eastAsia="Times New Roman"/>
          <w:sz w:val="24"/>
          <w:szCs w:val="24"/>
          <w:vertAlign w:val="baseline"/>
          <w:lang w:eastAsia="tr-TR"/>
        </w:rPr>
        <w:t xml:space="preserve">ön kabulden geçmiş </w:t>
      </w:r>
      <w:r w:rsidR="007C199E" w:rsidRPr="00E346B5">
        <w:rPr>
          <w:rFonts w:eastAsia="Times New Roman"/>
          <w:sz w:val="24"/>
          <w:szCs w:val="24"/>
          <w:vertAlign w:val="baseline"/>
          <w:lang w:eastAsia="en-US"/>
        </w:rPr>
        <w:t>yatırım harcamaları hesaplamalarında dikkate alınan tutarı</w:t>
      </w:r>
      <w:r w:rsidR="001A0DC6" w:rsidRPr="00E346B5">
        <w:rPr>
          <w:rFonts w:eastAsia="Times New Roman"/>
          <w:sz w:val="24"/>
          <w:szCs w:val="24"/>
          <w:vertAlign w:val="baseline"/>
          <w:lang w:eastAsia="en-US"/>
        </w:rPr>
        <w:t xml:space="preserve"> ilgili uygulama dönemine ilişkin </w:t>
      </w:r>
      <w:r w:rsidR="00E35F9F" w:rsidRPr="00E346B5">
        <w:rPr>
          <w:rFonts w:eastAsia="Times New Roman"/>
          <w:sz w:val="24"/>
          <w:szCs w:val="24"/>
          <w:vertAlign w:val="baseline"/>
          <w:lang w:eastAsia="en-US"/>
        </w:rPr>
        <w:t xml:space="preserve">ilk onaylanan yatırım planında yer alan </w:t>
      </w:r>
      <w:r w:rsidR="001A0DC6" w:rsidRPr="00E346B5">
        <w:rPr>
          <w:rFonts w:eastAsia="Times New Roman"/>
          <w:sz w:val="24"/>
          <w:szCs w:val="24"/>
          <w:vertAlign w:val="baseline"/>
          <w:lang w:eastAsia="en-US"/>
        </w:rPr>
        <w:t>Şebeke Yatırımlarının</w:t>
      </w:r>
      <w:r w:rsidR="007C199E" w:rsidRPr="00E346B5">
        <w:rPr>
          <w:rFonts w:eastAsia="Times New Roman"/>
          <w:sz w:val="24"/>
          <w:szCs w:val="24"/>
          <w:vertAlign w:val="baseline"/>
          <w:lang w:eastAsia="en-US"/>
        </w:rPr>
        <w:t xml:space="preserve"> % 5’i</w:t>
      </w:r>
      <w:r w:rsidR="008A7E7D" w:rsidRPr="00E346B5">
        <w:rPr>
          <w:rFonts w:eastAsia="Times New Roman"/>
          <w:sz w:val="24"/>
          <w:szCs w:val="24"/>
          <w:vertAlign w:val="baseline"/>
          <w:lang w:eastAsia="en-US"/>
        </w:rPr>
        <w:t>ni geçmeyecek şekilde</w:t>
      </w:r>
      <w:r w:rsidR="00031A4B" w:rsidRPr="00E346B5">
        <w:rPr>
          <w:rFonts w:eastAsia="Times New Roman"/>
          <w:sz w:val="24"/>
          <w:szCs w:val="24"/>
          <w:vertAlign w:val="baseline"/>
          <w:lang w:eastAsia="en-US"/>
        </w:rPr>
        <w:t xml:space="preserve"> onaylanır.</w:t>
      </w:r>
    </w:p>
    <w:p w:rsidR="0009033C" w:rsidRDefault="0009033C" w:rsidP="00E67773">
      <w:pPr>
        <w:jc w:val="both"/>
        <w:rPr>
          <w:rFonts w:eastAsia="Times New Roman"/>
          <w:sz w:val="24"/>
          <w:szCs w:val="24"/>
          <w:vertAlign w:val="baseline"/>
          <w:lang w:eastAsia="en-US"/>
        </w:rPr>
      </w:pPr>
    </w:p>
    <w:p w:rsidR="0009033C" w:rsidRPr="00E346B5" w:rsidRDefault="0009033C" w:rsidP="00E67773">
      <w:pPr>
        <w:jc w:val="both"/>
        <w:rPr>
          <w:rFonts w:eastAsia="Times New Roman"/>
          <w:sz w:val="24"/>
          <w:szCs w:val="24"/>
          <w:vertAlign w:val="baseline"/>
          <w:lang w:eastAsia="en-US"/>
        </w:rPr>
      </w:pPr>
      <w:r w:rsidRPr="0009033C">
        <w:rPr>
          <w:rFonts w:eastAsia="Times New Roman"/>
          <w:sz w:val="24"/>
          <w:szCs w:val="24"/>
          <w:vertAlign w:val="baseline"/>
          <w:lang w:eastAsia="en-US"/>
        </w:rPr>
        <w:t>(6)</w:t>
      </w:r>
      <w:r>
        <w:rPr>
          <w:rStyle w:val="DipnotBavurusu"/>
          <w:rFonts w:eastAsia="Times New Roman"/>
          <w:sz w:val="24"/>
          <w:szCs w:val="24"/>
          <w:lang w:eastAsia="en-US"/>
        </w:rPr>
        <w:footnoteReference w:id="29"/>
      </w:r>
      <w:r w:rsidRPr="0009033C">
        <w:rPr>
          <w:rFonts w:eastAsia="Times New Roman"/>
          <w:sz w:val="24"/>
          <w:szCs w:val="24"/>
          <w:vertAlign w:val="baseline"/>
          <w:lang w:eastAsia="en-US"/>
        </w:rPr>
        <w:t xml:space="preserve"> 5 inci fıkrada belirtilen %5 sınırını aşan proje bazındaki şebeke işletim sistemi yatırımları ile ilgili yatırım planı revizyonu Kurul’un yetkisindedir. %5 sınırının aşılmasının öngörülmesi halinde, elektrik dağıtım şirketleri bu karakteristikteki yatırımlar için proje bazında değişiklik taleplerini gerekçeleri ile birlikte Kuruma sunar. Kurul tarafından proje bazında uygun görülen bütçe başka bir proje için kullanılamaz.</w:t>
      </w:r>
    </w:p>
    <w:p w:rsidR="00B06281" w:rsidRPr="00E346B5" w:rsidRDefault="00B06281" w:rsidP="00E67773">
      <w:pPr>
        <w:jc w:val="both"/>
        <w:rPr>
          <w:rFonts w:eastAsia="Times New Roman"/>
          <w:sz w:val="24"/>
          <w:szCs w:val="24"/>
          <w:vertAlign w:val="baseline"/>
          <w:lang w:eastAsia="en-US"/>
        </w:rPr>
      </w:pPr>
    </w:p>
    <w:p w:rsidR="009E7ADB" w:rsidRPr="00E346B5" w:rsidRDefault="00031A4B" w:rsidP="00E67773">
      <w:pPr>
        <w:jc w:val="both"/>
        <w:rPr>
          <w:rFonts w:eastAsia="Times New Roman"/>
          <w:b/>
          <w:sz w:val="24"/>
          <w:szCs w:val="24"/>
          <w:vertAlign w:val="baseline"/>
          <w:lang w:eastAsia="en-US"/>
        </w:rPr>
      </w:pPr>
      <w:r w:rsidRPr="00E346B5">
        <w:rPr>
          <w:rFonts w:eastAsia="Times New Roman"/>
          <w:b/>
          <w:sz w:val="24"/>
          <w:szCs w:val="24"/>
          <w:vertAlign w:val="baseline"/>
          <w:lang w:eastAsia="en-US"/>
        </w:rPr>
        <w:t xml:space="preserve">Sayaç </w:t>
      </w:r>
      <w:r w:rsidR="00F04C16" w:rsidRPr="00E346B5">
        <w:rPr>
          <w:rFonts w:eastAsia="Times New Roman"/>
          <w:b/>
          <w:sz w:val="24"/>
          <w:szCs w:val="24"/>
          <w:vertAlign w:val="baseline"/>
          <w:lang w:eastAsia="en-US"/>
        </w:rPr>
        <w:t>Y</w:t>
      </w:r>
      <w:r w:rsidR="009E7ADB" w:rsidRPr="00E346B5">
        <w:rPr>
          <w:rFonts w:eastAsia="Times New Roman"/>
          <w:b/>
          <w:sz w:val="24"/>
          <w:szCs w:val="24"/>
          <w:vertAlign w:val="baseline"/>
          <w:lang w:eastAsia="en-US"/>
        </w:rPr>
        <w:t>atırımları</w:t>
      </w:r>
    </w:p>
    <w:p w:rsidR="00985319" w:rsidRPr="00E346B5" w:rsidRDefault="002008B5" w:rsidP="00E67773">
      <w:pPr>
        <w:pStyle w:val="Metin"/>
        <w:spacing w:after="0"/>
      </w:pPr>
      <w:r w:rsidRPr="00E346B5">
        <w:rPr>
          <w:b/>
        </w:rPr>
        <w:t>Madde</w:t>
      </w:r>
      <w:r w:rsidR="009E7ADB" w:rsidRPr="00E346B5">
        <w:rPr>
          <w:b/>
        </w:rPr>
        <w:t xml:space="preserve"> </w:t>
      </w:r>
      <w:r w:rsidRPr="00E346B5">
        <w:rPr>
          <w:b/>
        </w:rPr>
        <w:t>13</w:t>
      </w:r>
      <w:r w:rsidRPr="00E346B5">
        <w:t xml:space="preserve"> </w:t>
      </w:r>
      <w:r w:rsidR="009E7ADB" w:rsidRPr="00E346B5">
        <w:t xml:space="preserve">(1) </w:t>
      </w:r>
      <w:r w:rsidR="00985319" w:rsidRPr="00E346B5">
        <w:t>Dağıtım şirketi tarafında</w:t>
      </w:r>
      <w:r w:rsidR="00154F89" w:rsidRPr="00E346B5">
        <w:t>n dağıtım sistemi kullanıcıları</w:t>
      </w:r>
      <w:r w:rsidR="00985319" w:rsidRPr="00E346B5">
        <w:t>nın elektrik enerjisi ölçümlerine ilişkin tesis edilmiş olan sayaç bedeli harcama</w:t>
      </w:r>
      <w:r w:rsidR="00231796" w:rsidRPr="00E346B5">
        <w:t>ları</w:t>
      </w:r>
      <w:r w:rsidR="00985319" w:rsidRPr="00E346B5">
        <w:t xml:space="preserve"> sayaç yatırımı olarak değerlendirilir.</w:t>
      </w:r>
    </w:p>
    <w:p w:rsidR="00985319" w:rsidRPr="00E346B5" w:rsidRDefault="00985319" w:rsidP="00E67773">
      <w:pPr>
        <w:pStyle w:val="Metin"/>
        <w:spacing w:after="0"/>
      </w:pPr>
    </w:p>
    <w:p w:rsidR="00985319" w:rsidRPr="00E346B5" w:rsidRDefault="00985319" w:rsidP="00E67773">
      <w:pPr>
        <w:pStyle w:val="Metin"/>
        <w:spacing w:after="0"/>
      </w:pPr>
      <w:r w:rsidRPr="00E346B5">
        <w:t xml:space="preserve"> (2) Aydınlatma ve OSOS kapsamında tesis edilmiş olan sayaçlar ile dağıtım merkezi, trafo merkezi vb. yerlerde faturalamaya esas ölçüm amacı dışında kontrol ve diğer amaçlarla tesis edilmiş olan sayaçlar, sayaç yatırımı kapsamında değerlendirilmez.</w:t>
      </w:r>
    </w:p>
    <w:p w:rsidR="00985319" w:rsidRPr="00E346B5" w:rsidRDefault="00985319" w:rsidP="00E67773">
      <w:pPr>
        <w:pStyle w:val="Metin"/>
        <w:spacing w:after="0"/>
      </w:pPr>
    </w:p>
    <w:p w:rsidR="00567A12" w:rsidRDefault="00985319" w:rsidP="00686D5B">
      <w:pPr>
        <w:pStyle w:val="Metin"/>
        <w:spacing w:after="0"/>
      </w:pPr>
      <w:r w:rsidRPr="00E346B5">
        <w:t xml:space="preserve"> </w:t>
      </w:r>
      <w:r w:rsidR="00567A12" w:rsidRPr="00E346B5">
        <w:t>(3)</w:t>
      </w:r>
      <w:r w:rsidR="0009033C">
        <w:rPr>
          <w:rStyle w:val="DipnotBavurusu"/>
        </w:rPr>
        <w:footnoteReference w:id="30"/>
      </w:r>
      <w:r w:rsidR="00567A12" w:rsidRPr="00E346B5">
        <w:t xml:space="preserve"> </w:t>
      </w:r>
      <w:r w:rsidR="0009033C" w:rsidRPr="008A73BB">
        <w:rPr>
          <w:rFonts w:eastAsia="Calibri"/>
        </w:rPr>
        <w:t>Sayaçların ekonomik ömrü 10 yıl kabul edilir. Sözleşme gücünün veya bağlantı gücünün artması veya azalması nedeniyle yapılacak sayaç değişimi ile reaktif enerji tarifesi kapsamında olan fakat reaktif ölçü sistemi bulunmayan aboneliklerde yapıla</w:t>
      </w:r>
      <w:r w:rsidR="0009033C">
        <w:rPr>
          <w:rFonts w:eastAsia="Calibri"/>
        </w:rPr>
        <w:t xml:space="preserve">cak sayaç değişiklikleri hariç </w:t>
      </w:r>
      <w:r w:rsidR="0009033C" w:rsidRPr="008A73BB">
        <w:rPr>
          <w:rFonts w:eastAsia="Calibri"/>
        </w:rPr>
        <w:t>tesis edilen sayaçların 10 yılı doldurmadan değiştirilmesi veya kalibrasyonu yapılarak tekrar dağıtım sisteminde kullanılması durumunda söz konusu sayaçlara ait bedeller ön kabulden geçmiş yatırım harcaması olarak dikkate alınmaz.</w:t>
      </w:r>
      <w:r w:rsidR="00A3442F" w:rsidRPr="00E346B5">
        <w:t xml:space="preserve"> </w:t>
      </w:r>
    </w:p>
    <w:p w:rsidR="00686D5B" w:rsidRPr="00E346B5" w:rsidRDefault="00686D5B" w:rsidP="00686D5B">
      <w:pPr>
        <w:pStyle w:val="Metin"/>
        <w:spacing w:after="0"/>
      </w:pPr>
    </w:p>
    <w:p w:rsidR="00EF2841" w:rsidRPr="00E346B5" w:rsidRDefault="00EF2841" w:rsidP="00E67773">
      <w:pPr>
        <w:jc w:val="both"/>
        <w:rPr>
          <w:rFonts w:eastAsia="Times New Roman"/>
          <w:sz w:val="24"/>
          <w:szCs w:val="24"/>
          <w:vertAlign w:val="baseline"/>
          <w:lang w:eastAsia="en-US"/>
        </w:rPr>
      </w:pPr>
    </w:p>
    <w:p w:rsidR="00300E9C" w:rsidRPr="00E346B5" w:rsidRDefault="00F04C16" w:rsidP="00E67773">
      <w:pPr>
        <w:jc w:val="both"/>
        <w:rPr>
          <w:rFonts w:eastAsia="Times New Roman"/>
          <w:b/>
          <w:sz w:val="24"/>
          <w:szCs w:val="24"/>
          <w:vertAlign w:val="baseline"/>
          <w:lang w:eastAsia="en-US"/>
        </w:rPr>
      </w:pPr>
      <w:r w:rsidRPr="00E346B5">
        <w:rPr>
          <w:rFonts w:eastAsia="Times New Roman"/>
          <w:b/>
          <w:sz w:val="24"/>
          <w:szCs w:val="24"/>
          <w:vertAlign w:val="baseline"/>
          <w:lang w:eastAsia="en-US"/>
        </w:rPr>
        <w:t>Yatırım Harcaması Niteliğindeki Diğer Harcamalar</w:t>
      </w:r>
    </w:p>
    <w:p w:rsidR="0041758E" w:rsidRPr="00E346B5" w:rsidRDefault="002008B5" w:rsidP="00E67773">
      <w:pPr>
        <w:jc w:val="both"/>
        <w:rPr>
          <w:rFonts w:eastAsia="Times New Roman"/>
          <w:sz w:val="24"/>
          <w:szCs w:val="24"/>
          <w:vertAlign w:val="baseline"/>
          <w:lang w:eastAsia="en-US"/>
        </w:rPr>
      </w:pPr>
      <w:r w:rsidRPr="00E346B5">
        <w:rPr>
          <w:rFonts w:eastAsia="Times New Roman"/>
          <w:b/>
          <w:sz w:val="24"/>
          <w:szCs w:val="24"/>
          <w:vertAlign w:val="baseline"/>
          <w:lang w:eastAsia="en-US"/>
        </w:rPr>
        <w:lastRenderedPageBreak/>
        <w:t>Madde</w:t>
      </w:r>
      <w:r w:rsidR="00600240" w:rsidRPr="00E346B5">
        <w:rPr>
          <w:rFonts w:eastAsia="Times New Roman"/>
          <w:b/>
          <w:sz w:val="24"/>
          <w:szCs w:val="24"/>
          <w:vertAlign w:val="baseline"/>
          <w:lang w:eastAsia="en-US"/>
        </w:rPr>
        <w:t xml:space="preserve"> </w:t>
      </w:r>
      <w:r w:rsidRPr="00E346B5">
        <w:rPr>
          <w:rFonts w:eastAsia="Times New Roman"/>
          <w:b/>
          <w:sz w:val="24"/>
          <w:szCs w:val="24"/>
          <w:vertAlign w:val="baseline"/>
          <w:lang w:eastAsia="en-US"/>
        </w:rPr>
        <w:t>14</w:t>
      </w:r>
      <w:r w:rsidR="008718F9" w:rsidRPr="00E346B5">
        <w:rPr>
          <w:rFonts w:eastAsia="Times New Roman"/>
          <w:b/>
          <w:sz w:val="24"/>
          <w:szCs w:val="24"/>
          <w:vertAlign w:val="baseline"/>
          <w:lang w:eastAsia="en-US"/>
        </w:rPr>
        <w:t xml:space="preserve">- </w:t>
      </w:r>
      <w:r w:rsidR="008718F9" w:rsidRPr="00E346B5">
        <w:rPr>
          <w:rFonts w:eastAsia="Times New Roman"/>
          <w:sz w:val="24"/>
          <w:szCs w:val="24"/>
          <w:vertAlign w:val="baseline"/>
          <w:lang w:eastAsia="en-US"/>
        </w:rPr>
        <w:t>(1)</w:t>
      </w:r>
      <w:r w:rsidR="0009033C">
        <w:rPr>
          <w:rStyle w:val="DipnotBavurusu"/>
          <w:rFonts w:eastAsia="Times New Roman"/>
          <w:sz w:val="24"/>
          <w:szCs w:val="24"/>
          <w:lang w:eastAsia="en-US"/>
        </w:rPr>
        <w:footnoteReference w:id="31"/>
      </w:r>
      <w:r w:rsidR="008718F9" w:rsidRPr="00E346B5">
        <w:rPr>
          <w:rFonts w:eastAsia="Times New Roman"/>
          <w:sz w:val="24"/>
          <w:szCs w:val="24"/>
          <w:vertAlign w:val="baseline"/>
          <w:lang w:eastAsia="en-US"/>
        </w:rPr>
        <w:t xml:space="preserve"> </w:t>
      </w:r>
      <w:r w:rsidR="0009033C" w:rsidRPr="0009033C">
        <w:rPr>
          <w:rFonts w:eastAsia="Times New Roman"/>
          <w:sz w:val="24"/>
          <w:szCs w:val="24"/>
          <w:vertAlign w:val="baseline"/>
          <w:lang w:eastAsia="en-US"/>
        </w:rPr>
        <w:t>Dağıtım varlıkları dışında dağıtım faaliyetinin yürütülmesi için gerekli olan ve Vergi Usul Kanunu ve mali mevzuata uygun olarak aktifleştirilmiş, faydalı ömrü bir sene ve üzerindeki arsa, demirbaş (ölçü ve iş aletleri ve diğer demirbaşlar), bina, taşıt, vb. varlıklar ile şebeke işletim sistemi yatırımlarının mütemmim cüzü niteliğinde olmayan donanım, yazılım, lisans harcamaları ve proje yapımı işlerine ilişkin harcamalar Yatırım Harcaması Niteliğindeki Diğer Harcamalar olarak değerlendirilir.</w:t>
      </w:r>
      <w:r w:rsidR="00154F89" w:rsidRPr="00E346B5">
        <w:rPr>
          <w:rFonts w:eastAsia="Times New Roman"/>
          <w:sz w:val="24"/>
          <w:szCs w:val="24"/>
          <w:vertAlign w:val="baseline"/>
          <w:lang w:eastAsia="en-US"/>
        </w:rPr>
        <w:t xml:space="preserve"> </w:t>
      </w:r>
    </w:p>
    <w:p w:rsidR="004A7616" w:rsidRPr="00E346B5" w:rsidRDefault="004A7616" w:rsidP="00E67773">
      <w:pPr>
        <w:jc w:val="both"/>
        <w:rPr>
          <w:rFonts w:eastAsia="Times New Roman"/>
          <w:sz w:val="24"/>
          <w:szCs w:val="24"/>
          <w:vertAlign w:val="baseline"/>
          <w:lang w:eastAsia="en-US"/>
        </w:rPr>
      </w:pPr>
    </w:p>
    <w:p w:rsidR="009142E5" w:rsidRPr="00E346B5" w:rsidRDefault="009142E5" w:rsidP="00E67773">
      <w:pPr>
        <w:jc w:val="both"/>
        <w:rPr>
          <w:rFonts w:eastAsia="Times New Roman"/>
          <w:sz w:val="24"/>
          <w:szCs w:val="24"/>
          <w:vertAlign w:val="baseline"/>
          <w:lang w:eastAsia="en-US"/>
        </w:rPr>
      </w:pPr>
      <w:r w:rsidRPr="00E346B5">
        <w:rPr>
          <w:rFonts w:eastAsia="Times New Roman"/>
          <w:sz w:val="24"/>
          <w:szCs w:val="24"/>
          <w:vertAlign w:val="baseline"/>
          <w:lang w:eastAsia="en-US"/>
        </w:rPr>
        <w:t>(2)</w:t>
      </w:r>
      <w:r w:rsidR="0009033C">
        <w:rPr>
          <w:rStyle w:val="DipnotBavurusu"/>
          <w:rFonts w:eastAsia="Times New Roman"/>
          <w:sz w:val="24"/>
          <w:szCs w:val="24"/>
          <w:lang w:eastAsia="en-US"/>
        </w:rPr>
        <w:footnoteReference w:id="32"/>
      </w:r>
      <w:r w:rsidRPr="00E346B5">
        <w:rPr>
          <w:rFonts w:eastAsia="Times New Roman"/>
          <w:sz w:val="24"/>
          <w:szCs w:val="24"/>
          <w:vertAlign w:val="baseline"/>
          <w:lang w:eastAsia="en-US"/>
        </w:rPr>
        <w:t xml:space="preserve"> </w:t>
      </w:r>
      <w:r w:rsidR="0009033C" w:rsidRPr="0009033C">
        <w:rPr>
          <w:rFonts w:eastAsia="Times New Roman"/>
          <w:sz w:val="24"/>
          <w:szCs w:val="24"/>
          <w:vertAlign w:val="baseline"/>
          <w:lang w:eastAsia="en-US"/>
        </w:rPr>
        <w:t>Özelleştirme öncesi dönemde elektrik dağıtım tesisinde olması beklenen/gereken tesis ve teçhizatın eksik ve noksanlarını tamamlamak için yapılan harcamalar da Yatırım Harcaması Niteliğindeki Diğer Harcamalar olarak değerlendirilir (korkuluk, seksiyoner tesisleri, parafudr, işletme-koruma topraklamaları, seksiyoner ve trafo direklerinin etrafına yapılan yangın önleme tesisi, havai hatların izolasyonu, açık şalt tesislerde tel fens gibi).</w:t>
      </w:r>
    </w:p>
    <w:p w:rsidR="009142E5" w:rsidRPr="00E346B5" w:rsidRDefault="009142E5" w:rsidP="00E67773">
      <w:pPr>
        <w:jc w:val="both"/>
        <w:rPr>
          <w:rFonts w:eastAsia="Times New Roman"/>
          <w:sz w:val="24"/>
          <w:szCs w:val="24"/>
          <w:vertAlign w:val="baseline"/>
          <w:lang w:eastAsia="en-US"/>
        </w:rPr>
      </w:pPr>
    </w:p>
    <w:p w:rsidR="008218E8" w:rsidRDefault="009142E5" w:rsidP="00E67773">
      <w:pPr>
        <w:jc w:val="both"/>
        <w:rPr>
          <w:rFonts w:eastAsia="Times New Roman"/>
          <w:sz w:val="24"/>
          <w:szCs w:val="24"/>
          <w:vertAlign w:val="baseline"/>
          <w:lang w:eastAsia="en-US"/>
        </w:rPr>
      </w:pPr>
      <w:r w:rsidRPr="00E346B5">
        <w:rPr>
          <w:rFonts w:eastAsia="Times New Roman"/>
          <w:sz w:val="24"/>
          <w:szCs w:val="24"/>
          <w:vertAlign w:val="baseline"/>
          <w:lang w:eastAsia="en-US"/>
        </w:rPr>
        <w:t xml:space="preserve">(3) Bu madde kapsamında uygulama dönemi boyunca yapılacak olan harcamaların </w:t>
      </w:r>
      <w:r w:rsidR="00D02C22" w:rsidRPr="00E346B5">
        <w:rPr>
          <w:rFonts w:eastAsia="Times New Roman"/>
          <w:sz w:val="24"/>
          <w:szCs w:val="24"/>
          <w:vertAlign w:val="baseline"/>
          <w:lang w:eastAsia="tr-TR"/>
        </w:rPr>
        <w:t>ön kabulden geçmiş</w:t>
      </w:r>
      <w:r w:rsidRPr="00E346B5">
        <w:rPr>
          <w:rFonts w:eastAsia="Times New Roman"/>
          <w:sz w:val="24"/>
          <w:szCs w:val="24"/>
          <w:vertAlign w:val="baseline"/>
          <w:lang w:eastAsia="en-US"/>
        </w:rPr>
        <w:t xml:space="preserve"> yatırım harcamaları hesaplamalarında dikkate alınan tutarı ilgili uygulama dönemine ilişkin ilk onaylanan yatırım planında yer alan Şebeke Yatırımlarının % 1’i</w:t>
      </w:r>
      <w:r w:rsidR="00464ABD" w:rsidRPr="00E346B5">
        <w:rPr>
          <w:rFonts w:eastAsia="Times New Roman"/>
          <w:sz w:val="24"/>
          <w:szCs w:val="24"/>
          <w:vertAlign w:val="baseline"/>
          <w:lang w:eastAsia="en-US"/>
        </w:rPr>
        <w:t>ni geçmeyecek şekilde</w:t>
      </w:r>
      <w:r w:rsidR="00D02C22" w:rsidRPr="00E346B5">
        <w:rPr>
          <w:rFonts w:eastAsia="Times New Roman"/>
          <w:sz w:val="24"/>
          <w:szCs w:val="24"/>
          <w:vertAlign w:val="baseline"/>
          <w:lang w:eastAsia="en-US"/>
        </w:rPr>
        <w:t xml:space="preserve"> onaylanır.</w:t>
      </w:r>
      <w:r w:rsidR="008218E8" w:rsidRPr="00E346B5">
        <w:rPr>
          <w:rFonts w:eastAsia="Times New Roman"/>
          <w:sz w:val="24"/>
          <w:szCs w:val="24"/>
          <w:vertAlign w:val="baseline"/>
          <w:lang w:eastAsia="en-US"/>
        </w:rPr>
        <w:t xml:space="preserve"> </w:t>
      </w:r>
    </w:p>
    <w:p w:rsidR="007115B8" w:rsidRDefault="007115B8" w:rsidP="00E67773">
      <w:pPr>
        <w:jc w:val="both"/>
        <w:rPr>
          <w:rFonts w:eastAsia="Times New Roman"/>
          <w:sz w:val="24"/>
          <w:szCs w:val="24"/>
          <w:vertAlign w:val="baseline"/>
          <w:lang w:eastAsia="en-US"/>
        </w:rPr>
      </w:pPr>
    </w:p>
    <w:p w:rsidR="007115B8" w:rsidRDefault="007115B8" w:rsidP="00E67773">
      <w:pPr>
        <w:jc w:val="both"/>
        <w:rPr>
          <w:rFonts w:eastAsia="Times New Roman"/>
          <w:sz w:val="24"/>
          <w:szCs w:val="24"/>
          <w:vertAlign w:val="baseline"/>
          <w:lang w:eastAsia="en-US"/>
        </w:rPr>
      </w:pPr>
      <w:r w:rsidRPr="007115B8">
        <w:rPr>
          <w:rFonts w:eastAsia="Times New Roman"/>
          <w:sz w:val="24"/>
          <w:szCs w:val="24"/>
          <w:vertAlign w:val="baseline"/>
          <w:lang w:eastAsia="en-US"/>
        </w:rPr>
        <w:t>(4)</w:t>
      </w:r>
      <w:r>
        <w:rPr>
          <w:rStyle w:val="DipnotBavurusu"/>
          <w:rFonts w:eastAsia="Times New Roman"/>
          <w:sz w:val="24"/>
          <w:szCs w:val="24"/>
          <w:lang w:eastAsia="en-US"/>
        </w:rPr>
        <w:footnoteReference w:id="33"/>
      </w:r>
      <w:r w:rsidRPr="007115B8">
        <w:rPr>
          <w:rFonts w:eastAsia="Times New Roman"/>
          <w:sz w:val="24"/>
          <w:szCs w:val="24"/>
          <w:vertAlign w:val="baseline"/>
          <w:lang w:eastAsia="en-US"/>
        </w:rPr>
        <w:t xml:space="preserve"> Modüler hücreli sisteme dönüşüm haricinde ve işletme gideri kapsamında olmayan trafo binası tadilatları, trafo binası çatı yenileme gibi inşaat işleri için yapılan harcamalar bu karakteristikte raporlanır.</w:t>
      </w:r>
    </w:p>
    <w:p w:rsidR="00BB1895" w:rsidRDefault="00BB1895" w:rsidP="00E67773">
      <w:pPr>
        <w:jc w:val="both"/>
        <w:rPr>
          <w:rFonts w:eastAsia="Times New Roman"/>
          <w:sz w:val="24"/>
          <w:szCs w:val="24"/>
          <w:vertAlign w:val="baseline"/>
          <w:lang w:eastAsia="en-US"/>
        </w:rPr>
      </w:pPr>
    </w:p>
    <w:p w:rsidR="00BB1895" w:rsidRPr="00E346B5" w:rsidRDefault="00BB1895" w:rsidP="00E67773">
      <w:pPr>
        <w:jc w:val="both"/>
        <w:rPr>
          <w:rFonts w:eastAsia="Times New Roman"/>
          <w:sz w:val="24"/>
          <w:szCs w:val="24"/>
          <w:vertAlign w:val="baseline"/>
          <w:lang w:eastAsia="en-US"/>
        </w:rPr>
      </w:pPr>
      <w:r w:rsidRPr="00BB1895">
        <w:rPr>
          <w:rFonts w:eastAsia="Times New Roman"/>
          <w:sz w:val="24"/>
          <w:szCs w:val="24"/>
          <w:vertAlign w:val="baseline"/>
          <w:lang w:eastAsia="en-US"/>
        </w:rPr>
        <w:t>(5)</w:t>
      </w:r>
      <w:r>
        <w:rPr>
          <w:rStyle w:val="DipnotBavurusu"/>
          <w:rFonts w:eastAsia="Times New Roman"/>
          <w:sz w:val="24"/>
          <w:szCs w:val="24"/>
          <w:lang w:eastAsia="en-US"/>
        </w:rPr>
        <w:footnoteReference w:id="34"/>
      </w:r>
      <w:r w:rsidRPr="00BB1895">
        <w:rPr>
          <w:rFonts w:eastAsia="Times New Roman"/>
          <w:sz w:val="24"/>
          <w:szCs w:val="24"/>
          <w:vertAlign w:val="baseline"/>
          <w:lang w:eastAsia="en-US"/>
        </w:rPr>
        <w:t xml:space="preserve"> 3 üncü fıkrada belirtilen %1 sınırını aşan proje bazındaki yatırım harcaması niteliğindeki diğer harcamalar yatırımları ile ilgili yatırım planı revizyonu Kurul’un yetkisindedir. %1 sınırının aşılmasının öngörülmesi halinde, elektrik dağıtım şirketleri bu karakteristikteki yatırımlar için proje bazında değişiklik taleplerini gerekçeleri ile birlikte Kuruma sunar. Kurul tarafından proje bazında uygun görülen bütçe başka bir proje için kullanılam</w:t>
      </w:r>
      <w:r>
        <w:rPr>
          <w:rFonts w:eastAsia="Times New Roman"/>
          <w:sz w:val="24"/>
          <w:szCs w:val="24"/>
          <w:vertAlign w:val="baseline"/>
          <w:lang w:eastAsia="en-US"/>
        </w:rPr>
        <w:t>az.</w:t>
      </w:r>
    </w:p>
    <w:p w:rsidR="00300E9C" w:rsidRPr="00E346B5" w:rsidRDefault="00300E9C" w:rsidP="00E67773">
      <w:pPr>
        <w:jc w:val="both"/>
        <w:rPr>
          <w:rFonts w:eastAsia="Times New Roman"/>
          <w:sz w:val="24"/>
          <w:szCs w:val="24"/>
          <w:vertAlign w:val="baseline"/>
          <w:lang w:eastAsia="en-US"/>
        </w:rPr>
      </w:pPr>
    </w:p>
    <w:p w:rsidR="00275665" w:rsidRPr="00E346B5" w:rsidRDefault="00275665" w:rsidP="00E67773">
      <w:pPr>
        <w:pStyle w:val="Metin"/>
        <w:spacing w:after="0"/>
        <w:rPr>
          <w:b/>
        </w:rPr>
      </w:pPr>
    </w:p>
    <w:p w:rsidR="003C7836" w:rsidRPr="00E346B5" w:rsidRDefault="002C51FA" w:rsidP="00E67773">
      <w:pPr>
        <w:pStyle w:val="Metin"/>
        <w:spacing w:after="0"/>
        <w:rPr>
          <w:b/>
        </w:rPr>
      </w:pPr>
      <w:r w:rsidRPr="00E346B5">
        <w:rPr>
          <w:b/>
        </w:rPr>
        <w:t>BEŞİNCİ</w:t>
      </w:r>
      <w:r w:rsidR="003C7836" w:rsidRPr="00E346B5">
        <w:rPr>
          <w:b/>
        </w:rPr>
        <w:t xml:space="preserve"> KISIM</w:t>
      </w:r>
    </w:p>
    <w:p w:rsidR="00BC6CF8" w:rsidRPr="00E346B5" w:rsidRDefault="00BC6CF8" w:rsidP="00BC6CF8">
      <w:pPr>
        <w:pStyle w:val="Metin"/>
        <w:spacing w:after="0"/>
        <w:rPr>
          <w:b/>
        </w:rPr>
      </w:pPr>
      <w:r w:rsidRPr="00E346B5">
        <w:rPr>
          <w:b/>
        </w:rPr>
        <w:t>Varlık Satış Gelir</w:t>
      </w:r>
      <w:r w:rsidR="003C7499" w:rsidRPr="00E346B5">
        <w:rPr>
          <w:b/>
        </w:rPr>
        <w:t>ler</w:t>
      </w:r>
      <w:r w:rsidRPr="00E346B5">
        <w:rPr>
          <w:b/>
        </w:rPr>
        <w:t>i</w:t>
      </w:r>
    </w:p>
    <w:p w:rsidR="00BC6CF8" w:rsidRPr="00E346B5" w:rsidRDefault="00BC6CF8" w:rsidP="00BC6CF8">
      <w:pPr>
        <w:pStyle w:val="Metin"/>
        <w:spacing w:after="0"/>
      </w:pPr>
    </w:p>
    <w:p w:rsidR="003C7499" w:rsidRPr="00E346B5" w:rsidRDefault="003C7499" w:rsidP="00BC6CF8">
      <w:pPr>
        <w:pStyle w:val="Metin"/>
        <w:spacing w:after="0"/>
        <w:rPr>
          <w:b/>
        </w:rPr>
      </w:pPr>
      <w:r w:rsidRPr="00E346B5">
        <w:rPr>
          <w:b/>
        </w:rPr>
        <w:t>Varlık satış gelirleri</w:t>
      </w:r>
    </w:p>
    <w:p w:rsidR="00BC6CF8" w:rsidRPr="00E346B5" w:rsidRDefault="002008B5" w:rsidP="00BC6CF8">
      <w:pPr>
        <w:pStyle w:val="Metin"/>
        <w:spacing w:after="0"/>
      </w:pPr>
      <w:r w:rsidRPr="00E346B5">
        <w:rPr>
          <w:b/>
        </w:rPr>
        <w:t>Madde</w:t>
      </w:r>
      <w:r w:rsidR="0070510B" w:rsidRPr="00E346B5">
        <w:rPr>
          <w:b/>
        </w:rPr>
        <w:t xml:space="preserve"> </w:t>
      </w:r>
      <w:r w:rsidRPr="00E346B5">
        <w:rPr>
          <w:b/>
        </w:rPr>
        <w:t>15</w:t>
      </w:r>
      <w:r w:rsidR="00BC6CF8" w:rsidRPr="00E346B5">
        <w:rPr>
          <w:b/>
        </w:rPr>
        <w:t>-</w:t>
      </w:r>
      <w:r w:rsidR="00BC6CF8" w:rsidRPr="00E346B5">
        <w:t xml:space="preserve"> (1) </w:t>
      </w:r>
      <w:r w:rsidR="003F0802" w:rsidRPr="00E346B5">
        <w:t>Kabul edilen</w:t>
      </w:r>
      <w:r w:rsidR="008674D8" w:rsidRPr="00E346B5">
        <w:t xml:space="preserve"> net yatırım harcaması hesaplamasında dikkate </w:t>
      </w:r>
      <w:r w:rsidR="003F0802" w:rsidRPr="00E346B5">
        <w:t xml:space="preserve">alınacak </w:t>
      </w:r>
      <w:r w:rsidR="008674D8" w:rsidRPr="00E346B5">
        <w:t xml:space="preserve">varlık satış gelirleri Tebliğ uyarınca </w:t>
      </w:r>
      <w:r w:rsidR="00BC6CF8" w:rsidRPr="00E346B5">
        <w:t xml:space="preserve">dikkate alınır.  </w:t>
      </w:r>
    </w:p>
    <w:p w:rsidR="00BC6CF8" w:rsidRPr="00E346B5" w:rsidRDefault="00BC6CF8" w:rsidP="00BC6CF8">
      <w:pPr>
        <w:pStyle w:val="Metin"/>
        <w:spacing w:after="0"/>
      </w:pPr>
    </w:p>
    <w:p w:rsidR="001B3090" w:rsidRPr="00E346B5" w:rsidRDefault="001B3090" w:rsidP="00E67773">
      <w:pPr>
        <w:pStyle w:val="Metin"/>
        <w:spacing w:after="0"/>
      </w:pPr>
    </w:p>
    <w:p w:rsidR="001B3090" w:rsidRPr="00E346B5" w:rsidRDefault="00136441" w:rsidP="00E67773">
      <w:pPr>
        <w:pStyle w:val="Metin"/>
        <w:spacing w:after="0"/>
        <w:rPr>
          <w:b/>
        </w:rPr>
      </w:pPr>
      <w:r w:rsidRPr="00E346B5">
        <w:rPr>
          <w:b/>
        </w:rPr>
        <w:t>ALTINCI</w:t>
      </w:r>
      <w:r w:rsidR="00621CB7" w:rsidRPr="00E346B5">
        <w:rPr>
          <w:b/>
        </w:rPr>
        <w:t xml:space="preserve"> </w:t>
      </w:r>
      <w:r w:rsidR="001B3090" w:rsidRPr="00E346B5">
        <w:rPr>
          <w:b/>
        </w:rPr>
        <w:t>KISIM</w:t>
      </w:r>
    </w:p>
    <w:p w:rsidR="004714A4" w:rsidRPr="00E346B5" w:rsidRDefault="00CE6064" w:rsidP="00E67773">
      <w:pPr>
        <w:pStyle w:val="Metin"/>
        <w:spacing w:after="0"/>
      </w:pPr>
      <w:r w:rsidRPr="00E346B5">
        <w:rPr>
          <w:b/>
          <w:bCs/>
        </w:rPr>
        <w:t>Yatırım Harcamalarının İzlenmesi ve Raporlanması</w:t>
      </w:r>
    </w:p>
    <w:p w:rsidR="00696263" w:rsidRPr="00E346B5" w:rsidRDefault="00696263" w:rsidP="00E67773">
      <w:pPr>
        <w:spacing w:line="240" w:lineRule="atLeast"/>
        <w:jc w:val="both"/>
        <w:rPr>
          <w:rFonts w:eastAsia="Times New Roman"/>
          <w:b/>
          <w:sz w:val="24"/>
          <w:szCs w:val="24"/>
          <w:vertAlign w:val="baseline"/>
          <w:lang w:eastAsia="en-US"/>
        </w:rPr>
      </w:pPr>
    </w:p>
    <w:p w:rsidR="003C7499" w:rsidRPr="00E346B5" w:rsidRDefault="003204EC" w:rsidP="003C7499">
      <w:pPr>
        <w:pStyle w:val="Metin"/>
        <w:spacing w:after="0"/>
        <w:rPr>
          <w:b/>
        </w:rPr>
      </w:pPr>
      <w:r w:rsidRPr="00E346B5">
        <w:rPr>
          <w:b/>
          <w:bCs/>
        </w:rPr>
        <w:t>Y</w:t>
      </w:r>
      <w:r w:rsidR="00083145" w:rsidRPr="00E346B5">
        <w:rPr>
          <w:b/>
          <w:bCs/>
        </w:rPr>
        <w:t>atırım harcamalarının izlenmesi ve r</w:t>
      </w:r>
      <w:r w:rsidRPr="00E346B5">
        <w:rPr>
          <w:b/>
          <w:bCs/>
        </w:rPr>
        <w:t>aporlanması</w:t>
      </w:r>
    </w:p>
    <w:p w:rsidR="0097784D" w:rsidRPr="00E346B5" w:rsidRDefault="002008B5" w:rsidP="0097784D">
      <w:pPr>
        <w:pStyle w:val="Metin"/>
        <w:spacing w:after="0"/>
      </w:pPr>
      <w:r w:rsidRPr="00E346B5">
        <w:rPr>
          <w:b/>
        </w:rPr>
        <w:t>Madde</w:t>
      </w:r>
      <w:r w:rsidR="00600240" w:rsidRPr="00E346B5">
        <w:rPr>
          <w:b/>
        </w:rPr>
        <w:t xml:space="preserve"> </w:t>
      </w:r>
      <w:r w:rsidRPr="00E346B5">
        <w:rPr>
          <w:b/>
        </w:rPr>
        <w:t xml:space="preserve">16 </w:t>
      </w:r>
      <w:r w:rsidR="002E36ED" w:rsidRPr="00E346B5">
        <w:rPr>
          <w:b/>
        </w:rPr>
        <w:t>–</w:t>
      </w:r>
      <w:r w:rsidR="002E36ED" w:rsidRPr="00E346B5">
        <w:t xml:space="preserve"> </w:t>
      </w:r>
      <w:r w:rsidR="0097784D" w:rsidRPr="00E346B5">
        <w:t>(1)</w:t>
      </w:r>
      <w:r w:rsidR="007115B8">
        <w:rPr>
          <w:rStyle w:val="DipnotBavurusu"/>
        </w:rPr>
        <w:footnoteReference w:id="35"/>
      </w:r>
      <w:r w:rsidR="007115B8" w:rsidRPr="007115B8">
        <w:t xml:space="preserve"> </w:t>
      </w:r>
      <w:r w:rsidR="007115B8" w:rsidRPr="003F6BD9">
        <w:t xml:space="preserve">Yıl içerisinde kullanıma hazır hale getirilerek kabulünün yapılması ve kullanılmaya başlanması planlanmış olan veya devam eden yatırımlar, yıllık bazdaki yatırım </w:t>
      </w:r>
      <w:r w:rsidR="007115B8" w:rsidRPr="003F6BD9">
        <w:lastRenderedPageBreak/>
        <w:t xml:space="preserve">gerçekleşme tablolarından izlenmesi ve denetlenmesi amacıyla </w:t>
      </w:r>
      <w:r w:rsidR="007115B8">
        <w:t>B</w:t>
      </w:r>
      <w:r w:rsidR="007115B8" w:rsidRPr="003F6BD9">
        <w:t xml:space="preserve">ildirim </w:t>
      </w:r>
      <w:r w:rsidR="007115B8">
        <w:t>T</w:t>
      </w:r>
      <w:r w:rsidR="007115B8" w:rsidRPr="003F6BD9">
        <w:t>alimatında belirtilen sürede Kuruma bildirilir.</w:t>
      </w:r>
    </w:p>
    <w:p w:rsidR="00951CD2" w:rsidRPr="00E346B5" w:rsidRDefault="00951CD2" w:rsidP="0097784D">
      <w:pPr>
        <w:pStyle w:val="Metin"/>
        <w:spacing w:after="0"/>
      </w:pPr>
    </w:p>
    <w:p w:rsidR="002E36ED" w:rsidRPr="00E346B5" w:rsidRDefault="0097784D" w:rsidP="0097784D">
      <w:pPr>
        <w:pStyle w:val="Metin"/>
        <w:spacing w:after="0"/>
      </w:pPr>
      <w:r w:rsidRPr="00E346B5">
        <w:t>(2)</w:t>
      </w:r>
      <w:r w:rsidR="007115B8">
        <w:rPr>
          <w:rStyle w:val="DipnotBavurusu"/>
        </w:rPr>
        <w:footnoteReference w:id="36"/>
      </w:r>
      <w:r w:rsidRPr="00E346B5">
        <w:t xml:space="preserve"> </w:t>
      </w:r>
      <w:r w:rsidR="007115B8" w:rsidRPr="003F6BD9">
        <w:t>Yıl içerisinde kullanıma hazır hale getirilerek kabulü yapılmış ve kullanılmaya başlanmış yatırımlara ait harcamaların ve fiziki gerçekleşmelerin; muhasebe kayıtlarına ve bu kayıtlara esas ispatlayıcı belgelerle uyumluluğu yeminli mali müşavirce, saha ve geçici kabul tutanaklarındaki bilgilerle uyumluluğu</w:t>
      </w:r>
      <w:r w:rsidR="007115B8" w:rsidRPr="003F6BD9">
        <w:rPr>
          <w:b/>
        </w:rPr>
        <w:t xml:space="preserve"> </w:t>
      </w:r>
      <w:r w:rsidR="007115B8" w:rsidRPr="003F6BD9">
        <w:t>dağıtım şirketlerince onaylanarak</w:t>
      </w:r>
      <w:r w:rsidR="007115B8">
        <w:t>,</w:t>
      </w:r>
      <w:r w:rsidR="007115B8" w:rsidRPr="0025561E">
        <w:t xml:space="preserve"> </w:t>
      </w:r>
      <w:r w:rsidR="007115B8">
        <w:t>B</w:t>
      </w:r>
      <w:r w:rsidR="007115B8" w:rsidRPr="0025561E">
        <w:t xml:space="preserve">ildirim </w:t>
      </w:r>
      <w:r w:rsidR="007115B8">
        <w:t>T</w:t>
      </w:r>
      <w:r w:rsidR="007115B8" w:rsidRPr="0025561E">
        <w:t xml:space="preserve">alimatında belirtilen sürede </w:t>
      </w:r>
      <w:r w:rsidR="007115B8" w:rsidRPr="003F6BD9">
        <w:t xml:space="preserve"> Kuruma sunulur.</w:t>
      </w:r>
      <w:r w:rsidR="000770D2" w:rsidRPr="00E346B5">
        <w:t xml:space="preserve"> </w:t>
      </w:r>
    </w:p>
    <w:p w:rsidR="007510C5" w:rsidRPr="00E346B5" w:rsidRDefault="007510C5" w:rsidP="00E67773">
      <w:pPr>
        <w:pStyle w:val="Metin"/>
        <w:spacing w:after="0"/>
      </w:pPr>
    </w:p>
    <w:p w:rsidR="00917235" w:rsidRPr="00E346B5" w:rsidRDefault="00102DF6" w:rsidP="00E67773">
      <w:pPr>
        <w:pStyle w:val="Metin"/>
        <w:spacing w:after="0"/>
      </w:pPr>
      <w:r w:rsidRPr="00E346B5">
        <w:t>(</w:t>
      </w:r>
      <w:r w:rsidR="00F24274" w:rsidRPr="00E346B5">
        <w:t>3</w:t>
      </w:r>
      <w:r w:rsidRPr="00E346B5">
        <w:t xml:space="preserve">) </w:t>
      </w:r>
      <w:r w:rsidR="00D70D19" w:rsidRPr="00E346B5">
        <w:t xml:space="preserve">Yatırım karakteristiği bazında bir önceki takvim yılında gerçekleşen yatırım harcamaları özeti Kuruma </w:t>
      </w:r>
      <w:r w:rsidR="00554102" w:rsidRPr="00E346B5">
        <w:t>bildirilir.</w:t>
      </w:r>
      <w:r w:rsidR="00A71B3B" w:rsidRPr="00E346B5">
        <w:t xml:space="preserve"> </w:t>
      </w:r>
    </w:p>
    <w:p w:rsidR="002B1FDC" w:rsidRPr="00E346B5" w:rsidRDefault="002B1FDC" w:rsidP="00E67773">
      <w:pPr>
        <w:pStyle w:val="Metin"/>
        <w:spacing w:after="0"/>
      </w:pPr>
    </w:p>
    <w:p w:rsidR="00C36F80" w:rsidRPr="00E346B5" w:rsidRDefault="00C36F80" w:rsidP="00E67773">
      <w:pPr>
        <w:pStyle w:val="Metin"/>
        <w:spacing w:after="0"/>
      </w:pPr>
      <w:r w:rsidRPr="00E346B5">
        <w:t>(</w:t>
      </w:r>
      <w:r w:rsidR="00F24274" w:rsidRPr="00E346B5">
        <w:t>4</w:t>
      </w:r>
      <w:r w:rsidRPr="00E346B5">
        <w:t>)</w:t>
      </w:r>
      <w:r w:rsidR="007115B8">
        <w:rPr>
          <w:rStyle w:val="DipnotBavurusu"/>
        </w:rPr>
        <w:footnoteReference w:id="37"/>
      </w:r>
      <w:r w:rsidRPr="00E346B5">
        <w:t xml:space="preserve"> </w:t>
      </w:r>
      <w:r w:rsidR="007115B8" w:rsidRPr="003F6BD9">
        <w:t>Yıllar itibariyle kullanıma hazır hale gelen yatırımlara ilişkin varlıkların asgari düzeyde; konum bilgisi, kullanılmaya başlanma tarihi, geçici kabul tarihi, cinsi ve miktarı, yatırım projesi bilgileri (yatırım projesinin Kuruma raporlandığı yılı, adı, yatırım proje kodu) ile birlikte Coğrafi Bilgi Sistemi ve sistem veri tabanında güncellenerek izleyen yılın Mart ayı sonuna kadar Kurumun erişimine sunulur. Coğrafi Bilgi Sisteminde; dağıtım tesisinde yapılan değişiklikler izlenebilir olmalıdır.</w:t>
      </w:r>
    </w:p>
    <w:p w:rsidR="005A18B5" w:rsidRPr="00E346B5" w:rsidRDefault="005A18B5" w:rsidP="00E67773">
      <w:pPr>
        <w:pStyle w:val="Metin"/>
        <w:spacing w:after="0"/>
      </w:pPr>
    </w:p>
    <w:p w:rsidR="00A12F80" w:rsidRPr="00E346B5" w:rsidRDefault="00AF335D" w:rsidP="00E67773">
      <w:pPr>
        <w:pStyle w:val="Metin"/>
        <w:spacing w:after="0"/>
      </w:pPr>
      <w:r w:rsidRPr="00E346B5">
        <w:t>(5</w:t>
      </w:r>
      <w:r w:rsidR="00A12F80" w:rsidRPr="00E346B5">
        <w:t xml:space="preserve">) Yatırım harcamaları, dağıtım şirketi </w:t>
      </w:r>
      <w:r w:rsidR="002B1FDC" w:rsidRPr="00E346B5">
        <w:t>düzenleyici hesap planında “</w:t>
      </w:r>
      <w:r w:rsidR="00115747" w:rsidRPr="00E346B5">
        <w:t xml:space="preserve">258 </w:t>
      </w:r>
      <w:r w:rsidR="00A12F80" w:rsidRPr="00E346B5">
        <w:t>Yapılmakta Olan Yatırımlar” ana hesabının altında açılacak, projelere ve yatırım karakteristikler</w:t>
      </w:r>
      <w:r w:rsidR="00972A86" w:rsidRPr="00E346B5">
        <w:t>in</w:t>
      </w:r>
      <w:r w:rsidR="00A12F80" w:rsidRPr="00E346B5">
        <w:t xml:space="preserve">e göre detaylandırılmış alt hesaplarda takip edilir. </w:t>
      </w:r>
      <w:r w:rsidR="006D255C" w:rsidRPr="00E346B5">
        <w:t>Birden fazla yatırım projesi</w:t>
      </w:r>
      <w:r w:rsidR="00A12F80" w:rsidRPr="00E346B5">
        <w:t>nin</w:t>
      </w:r>
      <w:r w:rsidR="006D255C" w:rsidRPr="00E346B5">
        <w:t xml:space="preserve"> </w:t>
      </w:r>
      <w:r w:rsidR="00A12F80" w:rsidRPr="00E346B5">
        <w:t xml:space="preserve">tek bir </w:t>
      </w:r>
      <w:r w:rsidR="006D255C" w:rsidRPr="00E346B5">
        <w:t>grup olarak ihale edilmesi durumunda</w:t>
      </w:r>
      <w:r w:rsidR="00A12F80" w:rsidRPr="00E346B5">
        <w:t>, gruptaki</w:t>
      </w:r>
      <w:r w:rsidR="006D255C" w:rsidRPr="00E346B5">
        <w:t xml:space="preserve"> her bir </w:t>
      </w:r>
      <w:r w:rsidR="00A12F80" w:rsidRPr="00E346B5">
        <w:t xml:space="preserve">alt </w:t>
      </w:r>
      <w:r w:rsidR="006D255C" w:rsidRPr="00E346B5">
        <w:t>yatırım projesi</w:t>
      </w:r>
      <w:r w:rsidR="00A12F80" w:rsidRPr="00E346B5">
        <w:t xml:space="preserve"> ile ilgili harcamalar,</w:t>
      </w:r>
      <w:r w:rsidR="006D255C" w:rsidRPr="00E346B5">
        <w:t xml:space="preserve"> dağıtım şirketi</w:t>
      </w:r>
      <w:r w:rsidR="00A12F80" w:rsidRPr="00E346B5">
        <w:t>nin</w:t>
      </w:r>
      <w:r w:rsidR="006D255C" w:rsidRPr="00E346B5">
        <w:t xml:space="preserve"> </w:t>
      </w:r>
      <w:r w:rsidR="002B1FDC" w:rsidRPr="00E346B5">
        <w:t>düzenleyici hesap planında “</w:t>
      </w:r>
      <w:r w:rsidR="00115747" w:rsidRPr="00E346B5">
        <w:t xml:space="preserve">258 </w:t>
      </w:r>
      <w:r w:rsidR="006D255C" w:rsidRPr="00E346B5">
        <w:t>Yapılmakta Olan Yatırımlar” ana hesabında ayrı olarak takip edilir.</w:t>
      </w:r>
      <w:r w:rsidR="00A12F80" w:rsidRPr="00E346B5">
        <w:t xml:space="preserve"> </w:t>
      </w:r>
      <w:r w:rsidR="00972A86" w:rsidRPr="00E346B5">
        <w:t>Geçici kabulü yapılan pr</w:t>
      </w:r>
      <w:r w:rsidR="002B1FDC" w:rsidRPr="00E346B5">
        <w:t xml:space="preserve">ojelere ilişkin harcamalar </w:t>
      </w:r>
      <w:r w:rsidR="00A865E9" w:rsidRPr="00E346B5">
        <w:t xml:space="preserve">258 kodlu hesaptaki kırılım ile aynı kırılımda </w:t>
      </w:r>
      <w:r w:rsidR="002B1FDC" w:rsidRPr="00E346B5">
        <w:t>“</w:t>
      </w:r>
      <w:r w:rsidR="00115747" w:rsidRPr="00E346B5">
        <w:t xml:space="preserve">264 </w:t>
      </w:r>
      <w:r w:rsidR="00972A86" w:rsidRPr="00E346B5">
        <w:t>Özel Maliyetler” hesabına aktarılır.</w:t>
      </w:r>
    </w:p>
    <w:p w:rsidR="00A12F80" w:rsidRPr="00E346B5" w:rsidRDefault="00A12F80" w:rsidP="00E67773">
      <w:pPr>
        <w:spacing w:line="240" w:lineRule="atLeast"/>
        <w:ind w:firstLine="708"/>
        <w:jc w:val="both"/>
        <w:rPr>
          <w:rFonts w:eastAsia="Times New Roman"/>
          <w:sz w:val="24"/>
          <w:szCs w:val="24"/>
          <w:vertAlign w:val="baseline"/>
          <w:lang w:eastAsia="en-US"/>
        </w:rPr>
      </w:pPr>
    </w:p>
    <w:p w:rsidR="00722DA1" w:rsidRPr="00E346B5" w:rsidRDefault="00AF335D" w:rsidP="00E67773">
      <w:pPr>
        <w:pStyle w:val="Metin"/>
        <w:spacing w:after="0"/>
      </w:pPr>
      <w:r w:rsidRPr="00E346B5">
        <w:t>(6</w:t>
      </w:r>
      <w:r w:rsidR="00B7381E" w:rsidRPr="00E346B5">
        <w:t>)</w:t>
      </w:r>
      <w:r w:rsidR="007115B8">
        <w:rPr>
          <w:rStyle w:val="DipnotBavurusu"/>
        </w:rPr>
        <w:footnoteReference w:id="38"/>
      </w:r>
      <w:r w:rsidR="00B7381E" w:rsidRPr="00E346B5">
        <w:t xml:space="preserve"> </w:t>
      </w:r>
      <w:r w:rsidR="007115B8" w:rsidRPr="003F6BD9">
        <w:t xml:space="preserve">Yatırım projelerine ait kesin hesap hakedişlerinin ait olduğu yıl içerisinde yapılması esastır. Dağıtım şirketinden kaynaklanmayan sebeplerden dolayı kesin hesabın sonraki yıllarda yapılması sonucunda; daha önce Kuruma sunulan ilgili yatırım projesi harcaması arasında fark oluşması halinde, bu projeler için tablo hazırlanarak kesin hesap ödemesinin yapıldığı ve Özel Maliyetler Hesabına aktarıldığı yıla ait gerçekleşme bildirimi ile </w:t>
      </w:r>
      <w:r w:rsidR="007115B8">
        <w:t>birlikte Bildirim T</w:t>
      </w:r>
      <w:r w:rsidR="007115B8" w:rsidRPr="003F6BD9">
        <w:t>alimatında belirtilen sürede Kuruma bildirilir. Kesin hesapta oluşabilecek projenin kesin hesap farkı tutarı, sözleşme bedelinin (varsa ilave iş bedeli ilave edilecektir.) %10’unu geçemez.</w:t>
      </w:r>
    </w:p>
    <w:p w:rsidR="00666DEC" w:rsidRPr="00E346B5" w:rsidRDefault="00666DEC" w:rsidP="00E67773">
      <w:pPr>
        <w:pStyle w:val="Metin"/>
        <w:spacing w:after="0"/>
      </w:pPr>
    </w:p>
    <w:p w:rsidR="00666DEC" w:rsidRPr="00E346B5" w:rsidRDefault="00666DEC" w:rsidP="00E67773">
      <w:pPr>
        <w:pStyle w:val="Metin"/>
        <w:spacing w:after="0"/>
      </w:pPr>
      <w:r w:rsidRPr="00E346B5">
        <w:t xml:space="preserve">(7) Dağıtım şirketleri uygulama döneminin her bir yılında lisans bölgesinde yer alan il ve ilçeler ile beldelerde yapmayı planladığı yatırım projelerini şirket internet </w:t>
      </w:r>
      <w:r w:rsidR="00232551" w:rsidRPr="00E346B5">
        <w:t xml:space="preserve">sitesinin </w:t>
      </w:r>
      <w:r w:rsidRPr="00E346B5">
        <w:t>ana sayfasında yıl</w:t>
      </w:r>
      <w:r w:rsidR="00686D5B">
        <w:t xml:space="preserve"> </w:t>
      </w:r>
      <w:r w:rsidRPr="00E346B5">
        <w:t xml:space="preserve">başında ilan eder. </w:t>
      </w:r>
    </w:p>
    <w:p w:rsidR="00447C96" w:rsidRPr="00E346B5" w:rsidRDefault="00447C96" w:rsidP="00E67773">
      <w:pPr>
        <w:pStyle w:val="Metin"/>
        <w:spacing w:after="0"/>
      </w:pPr>
    </w:p>
    <w:p w:rsidR="00447C96" w:rsidRPr="00E346B5" w:rsidRDefault="00447C96" w:rsidP="00E00AC5">
      <w:pPr>
        <w:pStyle w:val="Metin"/>
        <w:spacing w:after="0"/>
        <w:rPr>
          <w:b/>
        </w:rPr>
      </w:pPr>
    </w:p>
    <w:p w:rsidR="00E00AC5" w:rsidRPr="00E346B5" w:rsidRDefault="00136441" w:rsidP="00E00AC5">
      <w:pPr>
        <w:pStyle w:val="Metin"/>
        <w:spacing w:after="0"/>
        <w:rPr>
          <w:b/>
        </w:rPr>
      </w:pPr>
      <w:r w:rsidRPr="00E346B5">
        <w:rPr>
          <w:b/>
        </w:rPr>
        <w:t>YEDİNCİ</w:t>
      </w:r>
      <w:r w:rsidR="00E00AC5" w:rsidRPr="00E346B5">
        <w:rPr>
          <w:b/>
        </w:rPr>
        <w:t xml:space="preserve"> KISIM</w:t>
      </w:r>
    </w:p>
    <w:p w:rsidR="00E00AC5" w:rsidRPr="00E346B5" w:rsidRDefault="00C64DF0" w:rsidP="00E00AC5">
      <w:pPr>
        <w:pStyle w:val="Metin"/>
        <w:spacing w:after="0"/>
        <w:rPr>
          <w:b/>
        </w:rPr>
      </w:pPr>
      <w:r w:rsidRPr="00E346B5">
        <w:rPr>
          <w:b/>
        </w:rPr>
        <w:t>Bildirimler</w:t>
      </w:r>
    </w:p>
    <w:p w:rsidR="00E00AC5" w:rsidRPr="00E346B5" w:rsidRDefault="00E00AC5" w:rsidP="00E00AC5">
      <w:pPr>
        <w:pStyle w:val="Metin"/>
        <w:spacing w:after="0"/>
        <w:rPr>
          <w:b/>
        </w:rPr>
      </w:pPr>
    </w:p>
    <w:p w:rsidR="00232551" w:rsidRPr="00E346B5" w:rsidRDefault="003204EC" w:rsidP="00FC2FCE">
      <w:pPr>
        <w:pStyle w:val="Metin"/>
        <w:spacing w:after="0"/>
        <w:rPr>
          <w:b/>
        </w:rPr>
      </w:pPr>
      <w:r w:rsidRPr="00E346B5">
        <w:rPr>
          <w:b/>
        </w:rPr>
        <w:t>Yatırım</w:t>
      </w:r>
      <w:r w:rsidR="009F353E" w:rsidRPr="00E346B5">
        <w:rPr>
          <w:b/>
        </w:rPr>
        <w:t>l</w:t>
      </w:r>
      <w:r w:rsidR="00C64DF0" w:rsidRPr="00E346B5">
        <w:rPr>
          <w:b/>
        </w:rPr>
        <w:t>a</w:t>
      </w:r>
      <w:r w:rsidR="009F353E" w:rsidRPr="00E346B5">
        <w:rPr>
          <w:b/>
        </w:rPr>
        <w:t>ra</w:t>
      </w:r>
      <w:r w:rsidR="00C64DF0" w:rsidRPr="00E346B5">
        <w:rPr>
          <w:b/>
        </w:rPr>
        <w:t xml:space="preserve"> ilişkin Kuruma yapılacak bildirimler</w:t>
      </w:r>
    </w:p>
    <w:p w:rsidR="00BF0DB6" w:rsidRPr="00E346B5" w:rsidRDefault="00C64DF0" w:rsidP="00FC588C">
      <w:pPr>
        <w:pStyle w:val="Metin"/>
        <w:spacing w:after="0"/>
      </w:pPr>
      <w:r w:rsidRPr="00E346B5">
        <w:rPr>
          <w:b/>
        </w:rPr>
        <w:lastRenderedPageBreak/>
        <w:t>Madde</w:t>
      </w:r>
      <w:r w:rsidR="00E00AC5" w:rsidRPr="00E346B5">
        <w:rPr>
          <w:b/>
        </w:rPr>
        <w:t xml:space="preserve"> </w:t>
      </w:r>
      <w:r w:rsidR="00135CDE" w:rsidRPr="00E346B5">
        <w:rPr>
          <w:b/>
        </w:rPr>
        <w:t>1</w:t>
      </w:r>
      <w:r w:rsidR="00FB0AC0" w:rsidRPr="00E346B5">
        <w:rPr>
          <w:b/>
        </w:rPr>
        <w:t>7</w:t>
      </w:r>
      <w:r w:rsidR="00E00AC5" w:rsidRPr="00E346B5">
        <w:rPr>
          <w:b/>
        </w:rPr>
        <w:t xml:space="preserve"> </w:t>
      </w:r>
      <w:r w:rsidR="00E00AC5" w:rsidRPr="00E346B5">
        <w:t>–</w:t>
      </w:r>
      <w:r w:rsidR="00430FB9" w:rsidRPr="00E346B5">
        <w:t xml:space="preserve"> </w:t>
      </w:r>
      <w:r w:rsidR="00FC2FCE" w:rsidRPr="00E346B5">
        <w:t>(1)</w:t>
      </w:r>
      <w:r w:rsidR="007115B8">
        <w:rPr>
          <w:rStyle w:val="DipnotBavurusu"/>
        </w:rPr>
        <w:footnoteReference w:id="39"/>
      </w:r>
      <w:r w:rsidR="002D24F9" w:rsidRPr="00E346B5">
        <w:t xml:space="preserve"> </w:t>
      </w:r>
      <w:r w:rsidR="007115B8" w:rsidRPr="003F6BD9">
        <w:t>Bu Usul ve Esaslar uyarınca yapılacak olan tüm bildirimler bildirim talimatına uygun olarak yapılır.</w:t>
      </w:r>
      <w:r w:rsidR="00C57191" w:rsidRPr="00E346B5" w:rsidDel="00FC588C">
        <w:t xml:space="preserve"> </w:t>
      </w:r>
    </w:p>
    <w:p w:rsidR="00E00AC5" w:rsidRPr="00E346B5" w:rsidRDefault="00E00AC5" w:rsidP="00E67773">
      <w:pPr>
        <w:pStyle w:val="Metin"/>
        <w:spacing w:after="0"/>
        <w:rPr>
          <w:b/>
        </w:rPr>
      </w:pPr>
    </w:p>
    <w:p w:rsidR="00917235" w:rsidRPr="00E346B5" w:rsidRDefault="00136441" w:rsidP="00E67773">
      <w:pPr>
        <w:pStyle w:val="Metin"/>
        <w:spacing w:after="0"/>
        <w:rPr>
          <w:b/>
        </w:rPr>
      </w:pPr>
      <w:r w:rsidRPr="00E346B5">
        <w:rPr>
          <w:b/>
        </w:rPr>
        <w:t>SEKİZİNCİ</w:t>
      </w:r>
      <w:r w:rsidR="00917235" w:rsidRPr="00E346B5">
        <w:rPr>
          <w:b/>
        </w:rPr>
        <w:t xml:space="preserve"> KISIM</w:t>
      </w:r>
    </w:p>
    <w:p w:rsidR="00917235" w:rsidRPr="00E346B5" w:rsidRDefault="00917235" w:rsidP="00E67773">
      <w:pPr>
        <w:pStyle w:val="Metin"/>
        <w:spacing w:after="0"/>
        <w:rPr>
          <w:b/>
        </w:rPr>
      </w:pPr>
      <w:r w:rsidRPr="00E346B5">
        <w:rPr>
          <w:b/>
        </w:rPr>
        <w:t>Son Hükümler</w:t>
      </w:r>
    </w:p>
    <w:p w:rsidR="009677DC" w:rsidRPr="00E346B5" w:rsidRDefault="009677DC" w:rsidP="00E67773">
      <w:pPr>
        <w:pStyle w:val="Metin"/>
        <w:spacing w:after="0"/>
        <w:rPr>
          <w:b/>
        </w:rPr>
      </w:pPr>
    </w:p>
    <w:p w:rsidR="009677DC" w:rsidRPr="00E346B5" w:rsidRDefault="009677DC" w:rsidP="009677DC">
      <w:pPr>
        <w:pStyle w:val="Balk"/>
        <w:spacing w:before="60"/>
        <w:jc w:val="both"/>
        <w:rPr>
          <w:lang w:eastAsia="tr-TR"/>
        </w:rPr>
      </w:pPr>
      <w:r w:rsidRPr="00E346B5">
        <w:rPr>
          <w:lang w:eastAsia="tr-TR"/>
        </w:rPr>
        <w:t xml:space="preserve">Yürürlükten kaldırılan </w:t>
      </w:r>
      <w:r w:rsidR="006E2153" w:rsidRPr="00E346B5">
        <w:rPr>
          <w:lang w:eastAsia="tr-TR"/>
        </w:rPr>
        <w:t>düzenlemeler</w:t>
      </w:r>
    </w:p>
    <w:p w:rsidR="009677DC" w:rsidRPr="00E346B5" w:rsidRDefault="009677DC" w:rsidP="009677DC">
      <w:pPr>
        <w:pStyle w:val="Balk"/>
        <w:spacing w:before="60"/>
        <w:jc w:val="both"/>
        <w:rPr>
          <w:b w:val="0"/>
          <w:lang w:eastAsia="tr-TR"/>
        </w:rPr>
      </w:pPr>
      <w:r w:rsidRPr="00E346B5">
        <w:rPr>
          <w:bCs w:val="0"/>
        </w:rPr>
        <w:t>Madde 1</w:t>
      </w:r>
      <w:r w:rsidR="00FB0AC0" w:rsidRPr="00E346B5">
        <w:rPr>
          <w:bCs w:val="0"/>
        </w:rPr>
        <w:t>8</w:t>
      </w:r>
      <w:r w:rsidRPr="00E346B5">
        <w:rPr>
          <w:bCs w:val="0"/>
        </w:rPr>
        <w:t xml:space="preserve"> </w:t>
      </w:r>
      <w:r w:rsidRPr="00E346B5">
        <w:rPr>
          <w:lang w:eastAsia="tr-TR"/>
        </w:rPr>
        <w:t>-</w:t>
      </w:r>
      <w:r w:rsidRPr="00E346B5">
        <w:rPr>
          <w:b w:val="0"/>
          <w:lang w:eastAsia="tr-TR"/>
        </w:rPr>
        <w:t xml:space="preserve"> (1) </w:t>
      </w:r>
      <w:r w:rsidR="00B827C0" w:rsidRPr="00E346B5">
        <w:rPr>
          <w:b w:val="0"/>
          <w:lang w:eastAsia="tr-TR"/>
        </w:rPr>
        <w:t>17 Haziran 2011 tarihli ve 27967 sayılı Resmi Gazetede ya</w:t>
      </w:r>
      <w:r w:rsidRPr="00E346B5">
        <w:rPr>
          <w:b w:val="0"/>
          <w:lang w:eastAsia="tr-TR"/>
        </w:rPr>
        <w:t xml:space="preserve">yımlanarak yürürlüğe giren </w:t>
      </w:r>
      <w:r w:rsidR="00B827C0" w:rsidRPr="00E346B5">
        <w:rPr>
          <w:b w:val="0"/>
          <w:lang w:eastAsia="tr-TR"/>
        </w:rPr>
        <w:t xml:space="preserve">Elektrik Piyasası Dağıtım Sistemi Düzenlemeye Esas Yatırım Harcamalarının Belirlenmesi </w:t>
      </w:r>
      <w:r w:rsidR="009F353E" w:rsidRPr="00E346B5">
        <w:rPr>
          <w:b w:val="0"/>
          <w:lang w:eastAsia="tr-TR"/>
        </w:rPr>
        <w:t>v</w:t>
      </w:r>
      <w:r w:rsidR="00B827C0" w:rsidRPr="00E346B5">
        <w:rPr>
          <w:b w:val="0"/>
          <w:lang w:eastAsia="tr-TR"/>
        </w:rPr>
        <w:t xml:space="preserve">e Gerçekleşmesinin İzlenmesine İlişkin Usul </w:t>
      </w:r>
      <w:r w:rsidR="009F353E" w:rsidRPr="00E346B5">
        <w:rPr>
          <w:b w:val="0"/>
          <w:lang w:eastAsia="tr-TR"/>
        </w:rPr>
        <w:t>v</w:t>
      </w:r>
      <w:r w:rsidR="00B827C0" w:rsidRPr="00E346B5">
        <w:rPr>
          <w:b w:val="0"/>
          <w:lang w:eastAsia="tr-TR"/>
        </w:rPr>
        <w:t xml:space="preserve">e Esaslar </w:t>
      </w:r>
      <w:r w:rsidRPr="00E346B5">
        <w:rPr>
          <w:b w:val="0"/>
          <w:lang w:eastAsia="tr-TR"/>
        </w:rPr>
        <w:t>yürürlükten kaldırılmıştır.</w:t>
      </w:r>
    </w:p>
    <w:p w:rsidR="00917235" w:rsidRPr="00E346B5" w:rsidRDefault="00917235" w:rsidP="00E67773">
      <w:pPr>
        <w:pStyle w:val="Metin"/>
        <w:spacing w:after="0"/>
        <w:rPr>
          <w:b/>
        </w:rPr>
      </w:pPr>
    </w:p>
    <w:p w:rsidR="009F353E" w:rsidRPr="00E346B5" w:rsidRDefault="009F353E" w:rsidP="009F353E">
      <w:pPr>
        <w:pStyle w:val="Balk"/>
        <w:spacing w:before="60"/>
        <w:jc w:val="both"/>
        <w:rPr>
          <w:lang w:eastAsia="tr-TR"/>
        </w:rPr>
      </w:pPr>
      <w:r w:rsidRPr="00E346B5">
        <w:rPr>
          <w:lang w:eastAsia="tr-TR"/>
        </w:rPr>
        <w:t>2011-2015 Uygulama Dönemine ilişkin uygulamalar</w:t>
      </w:r>
    </w:p>
    <w:p w:rsidR="009F353E" w:rsidRPr="00E346B5" w:rsidRDefault="0011040C" w:rsidP="009F353E">
      <w:pPr>
        <w:pStyle w:val="Balk"/>
        <w:spacing w:before="60"/>
        <w:jc w:val="both"/>
        <w:rPr>
          <w:b w:val="0"/>
          <w:lang w:eastAsia="tr-TR"/>
        </w:rPr>
      </w:pPr>
      <w:r>
        <w:rPr>
          <w:bCs w:val="0"/>
        </w:rPr>
        <w:t>Geçici Madde 1</w:t>
      </w:r>
      <w:r w:rsidR="009F353E" w:rsidRPr="00E346B5">
        <w:rPr>
          <w:bCs w:val="0"/>
        </w:rPr>
        <w:t xml:space="preserve"> </w:t>
      </w:r>
      <w:r w:rsidR="009F353E" w:rsidRPr="00E346B5">
        <w:rPr>
          <w:lang w:eastAsia="tr-TR"/>
        </w:rPr>
        <w:t>-</w:t>
      </w:r>
      <w:r w:rsidR="009F353E" w:rsidRPr="00E346B5">
        <w:rPr>
          <w:b w:val="0"/>
          <w:lang w:eastAsia="tr-TR"/>
        </w:rPr>
        <w:t xml:space="preserve"> (1) 2011-2015 Uyg</w:t>
      </w:r>
      <w:r w:rsidR="00D64836" w:rsidRPr="00E346B5">
        <w:rPr>
          <w:b w:val="0"/>
          <w:lang w:eastAsia="tr-TR"/>
        </w:rPr>
        <w:t>ulama Dönemine</w:t>
      </w:r>
      <w:r w:rsidR="009F353E" w:rsidRPr="00E346B5">
        <w:rPr>
          <w:b w:val="0"/>
          <w:lang w:eastAsia="tr-TR"/>
        </w:rPr>
        <w:t xml:space="preserve"> ilişkin</w:t>
      </w:r>
      <w:r w:rsidR="00D64836" w:rsidRPr="00E346B5">
        <w:rPr>
          <w:b w:val="0"/>
          <w:lang w:eastAsia="tr-TR"/>
        </w:rPr>
        <w:t xml:space="preserve"> olarak</w:t>
      </w:r>
      <w:r w:rsidR="009F353E" w:rsidRPr="00E346B5">
        <w:rPr>
          <w:b w:val="0"/>
          <w:lang w:eastAsia="tr-TR"/>
        </w:rPr>
        <w:t xml:space="preserve"> 17 Haziran 2011 tarihli ve 27967 sayılı Resmi Gazetede yayımlanarak yürürlüğe giren Elektrik Piyasası Dağıtım Sistemi Düzenlemeye Esas Yatırım Harcamalarının Belirlenmesi ve Gerçekleşmesinin İzlenmesine İlişkin Usul ve Esaslar</w:t>
      </w:r>
      <w:r w:rsidR="00D64836" w:rsidRPr="00E346B5">
        <w:rPr>
          <w:b w:val="0"/>
          <w:lang w:eastAsia="tr-TR"/>
        </w:rPr>
        <w:t>’ın hükümleri</w:t>
      </w:r>
      <w:r w:rsidR="009F353E" w:rsidRPr="00E346B5">
        <w:rPr>
          <w:b w:val="0"/>
          <w:lang w:eastAsia="tr-TR"/>
        </w:rPr>
        <w:t xml:space="preserve"> </w:t>
      </w:r>
      <w:r w:rsidR="00D64836" w:rsidRPr="00E346B5">
        <w:rPr>
          <w:b w:val="0"/>
          <w:lang w:eastAsia="tr-TR"/>
        </w:rPr>
        <w:t>uygulanır.</w:t>
      </w:r>
    </w:p>
    <w:p w:rsidR="00F93291" w:rsidRDefault="00F93291" w:rsidP="009F353E">
      <w:pPr>
        <w:pStyle w:val="Balk"/>
        <w:spacing w:before="60"/>
        <w:jc w:val="both"/>
        <w:rPr>
          <w:b w:val="0"/>
          <w:lang w:eastAsia="tr-TR"/>
        </w:rPr>
      </w:pPr>
      <w:r w:rsidRPr="00EE0DF3">
        <w:rPr>
          <w:b w:val="0"/>
          <w:lang w:eastAsia="tr-TR"/>
        </w:rPr>
        <w:t xml:space="preserve">(2) 5 inci maddenin birinci fıkrasının (c) bendi </w:t>
      </w:r>
      <w:r w:rsidR="0011040C" w:rsidRPr="00EE0DF3">
        <w:rPr>
          <w:b w:val="0"/>
          <w:lang w:eastAsia="tr-TR"/>
        </w:rPr>
        <w:t>2015 yılı yatırımları için de uygulanır.</w:t>
      </w:r>
    </w:p>
    <w:p w:rsidR="007115B8" w:rsidRDefault="007115B8" w:rsidP="009F353E">
      <w:pPr>
        <w:pStyle w:val="Balk"/>
        <w:spacing w:before="60"/>
        <w:jc w:val="both"/>
        <w:rPr>
          <w:b w:val="0"/>
          <w:lang w:eastAsia="tr-TR"/>
        </w:rPr>
      </w:pPr>
    </w:p>
    <w:p w:rsidR="007115B8" w:rsidRPr="003F6BD9" w:rsidRDefault="007115B8" w:rsidP="007115B8">
      <w:pPr>
        <w:pStyle w:val="NormalWeb"/>
        <w:spacing w:before="0" w:beforeAutospacing="0" w:after="0" w:afterAutospacing="0"/>
        <w:jc w:val="both"/>
      </w:pPr>
      <w:r w:rsidRPr="003F6BD9">
        <w:rPr>
          <w:rFonts w:eastAsia="Calibri"/>
          <w:lang w:eastAsia="en-US"/>
        </w:rPr>
        <w:t>(3)</w:t>
      </w:r>
      <w:r>
        <w:rPr>
          <w:rStyle w:val="DipnotBavurusu"/>
          <w:rFonts w:eastAsia="Calibri"/>
          <w:lang w:eastAsia="en-US"/>
        </w:rPr>
        <w:footnoteReference w:id="40"/>
      </w:r>
      <w:r w:rsidRPr="003F6BD9">
        <w:rPr>
          <w:rFonts w:eastAsia="Calibri"/>
          <w:lang w:eastAsia="en-US"/>
        </w:rPr>
        <w:t xml:space="preserve"> 8 inci maddenin beşinci fıkrası</w:t>
      </w:r>
      <w:r>
        <w:rPr>
          <w:rFonts w:eastAsia="Calibri"/>
          <w:lang w:eastAsia="en-US"/>
        </w:rPr>
        <w:t>,</w:t>
      </w:r>
      <w:r w:rsidRPr="003F6BD9">
        <w:rPr>
          <w:rFonts w:eastAsia="Calibri"/>
          <w:lang w:eastAsia="en-US"/>
        </w:rPr>
        <w:t xml:space="preserve"> 2011-2015</w:t>
      </w:r>
      <w:r>
        <w:rPr>
          <w:rFonts w:eastAsia="Calibri"/>
          <w:lang w:eastAsia="en-US"/>
        </w:rPr>
        <w:t xml:space="preserve"> yıllarını kapsayan II.</w:t>
      </w:r>
      <w:r w:rsidRPr="003F6BD9">
        <w:rPr>
          <w:rFonts w:eastAsia="Calibri"/>
          <w:lang w:eastAsia="en-US"/>
        </w:rPr>
        <w:t xml:space="preserve"> Uygulama Dönemi</w:t>
      </w:r>
      <w:r>
        <w:rPr>
          <w:rFonts w:eastAsia="Calibri"/>
          <w:lang w:eastAsia="en-US"/>
        </w:rPr>
        <w:t>n</w:t>
      </w:r>
      <w:r w:rsidRPr="003F6BD9">
        <w:rPr>
          <w:rFonts w:eastAsia="Calibri"/>
          <w:lang w:eastAsia="en-US"/>
        </w:rPr>
        <w:t xml:space="preserve">de </w:t>
      </w:r>
      <w:r>
        <w:rPr>
          <w:rFonts w:eastAsia="Calibri"/>
          <w:lang w:eastAsia="en-US"/>
        </w:rPr>
        <w:t>başlayan ve 2016-2020 yıllarını kapsayan III. Uygulama Döneminde tamamlanan yatırım projeleri için de geçerlidir.</w:t>
      </w:r>
    </w:p>
    <w:p w:rsidR="007115B8" w:rsidRPr="00EE0DF3" w:rsidRDefault="007115B8" w:rsidP="009F353E">
      <w:pPr>
        <w:pStyle w:val="Balk"/>
        <w:spacing w:before="60"/>
        <w:jc w:val="both"/>
        <w:rPr>
          <w:b w:val="0"/>
          <w:lang w:eastAsia="tr-TR"/>
        </w:rPr>
      </w:pPr>
    </w:p>
    <w:p w:rsidR="009F353E" w:rsidRPr="00EE0DF3" w:rsidRDefault="009F353E" w:rsidP="00E67773">
      <w:pPr>
        <w:pStyle w:val="Metin"/>
        <w:spacing w:after="0"/>
        <w:rPr>
          <w:b/>
        </w:rPr>
      </w:pPr>
    </w:p>
    <w:p w:rsidR="00C7407F" w:rsidRPr="00EE0DF3" w:rsidRDefault="00C7407F" w:rsidP="00E67773">
      <w:pPr>
        <w:pStyle w:val="Metin"/>
        <w:spacing w:after="0"/>
        <w:rPr>
          <w:b/>
        </w:rPr>
      </w:pPr>
      <w:r w:rsidRPr="00EE0DF3">
        <w:rPr>
          <w:b/>
        </w:rPr>
        <w:t xml:space="preserve">Yürürlük </w:t>
      </w:r>
    </w:p>
    <w:p w:rsidR="00C7407F" w:rsidRPr="00EE0DF3" w:rsidRDefault="00600240" w:rsidP="00E67773">
      <w:pPr>
        <w:pStyle w:val="Metin"/>
        <w:spacing w:after="0"/>
      </w:pPr>
      <w:r w:rsidRPr="00EE0DF3">
        <w:rPr>
          <w:b/>
        </w:rPr>
        <w:t xml:space="preserve">MADDE </w:t>
      </w:r>
      <w:r w:rsidR="0011040C" w:rsidRPr="00EE0DF3">
        <w:rPr>
          <w:b/>
        </w:rPr>
        <w:t>19</w:t>
      </w:r>
      <w:r w:rsidR="00C7407F" w:rsidRPr="00EE0DF3">
        <w:rPr>
          <w:b/>
        </w:rPr>
        <w:t xml:space="preserve"> - </w:t>
      </w:r>
      <w:r w:rsidR="00C7407F" w:rsidRPr="00EE0DF3">
        <w:t>(1)</w:t>
      </w:r>
      <w:r w:rsidR="00C7407F" w:rsidRPr="00EE0DF3">
        <w:rPr>
          <w:b/>
          <w:bCs/>
        </w:rPr>
        <w:t xml:space="preserve">  </w:t>
      </w:r>
      <w:r w:rsidR="00C7407F" w:rsidRPr="00EE0DF3">
        <w:t xml:space="preserve">Bu </w:t>
      </w:r>
      <w:r w:rsidR="00327D9E" w:rsidRPr="00EE0DF3">
        <w:t>Usul ve Esaslar</w:t>
      </w:r>
      <w:r w:rsidR="00C7407F" w:rsidRPr="00EE0DF3">
        <w:t xml:space="preserve"> </w:t>
      </w:r>
      <w:r w:rsidR="0011040C" w:rsidRPr="00EE0DF3">
        <w:t>01/01/2016</w:t>
      </w:r>
      <w:r w:rsidR="00182B7D">
        <w:t xml:space="preserve"> </w:t>
      </w:r>
      <w:r w:rsidR="00C7407F" w:rsidRPr="00EE0DF3">
        <w:t>tarihinde yürürlüğe girer.</w:t>
      </w:r>
    </w:p>
    <w:p w:rsidR="00C7407F" w:rsidRPr="00EE0DF3" w:rsidRDefault="00C7407F" w:rsidP="00E67773">
      <w:pPr>
        <w:pStyle w:val="Metin"/>
        <w:spacing w:after="0"/>
      </w:pPr>
    </w:p>
    <w:p w:rsidR="00C7407F" w:rsidRPr="00EE0DF3" w:rsidRDefault="00C7407F" w:rsidP="00E67773">
      <w:pPr>
        <w:pStyle w:val="Metin"/>
        <w:spacing w:after="0"/>
        <w:rPr>
          <w:b/>
        </w:rPr>
      </w:pPr>
      <w:r w:rsidRPr="00EE0DF3">
        <w:rPr>
          <w:b/>
        </w:rPr>
        <w:t xml:space="preserve">Yürütme </w:t>
      </w:r>
    </w:p>
    <w:p w:rsidR="007330C1" w:rsidRPr="00E346B5" w:rsidRDefault="00600240" w:rsidP="00B35F55">
      <w:pPr>
        <w:pStyle w:val="Metin"/>
        <w:spacing w:after="0"/>
      </w:pPr>
      <w:r w:rsidRPr="00EE0DF3">
        <w:rPr>
          <w:b/>
        </w:rPr>
        <w:t xml:space="preserve">MADDE </w:t>
      </w:r>
      <w:r w:rsidR="00FB0AC0" w:rsidRPr="00EE0DF3">
        <w:rPr>
          <w:b/>
        </w:rPr>
        <w:t>2</w:t>
      </w:r>
      <w:r w:rsidR="0011040C" w:rsidRPr="00EE0DF3">
        <w:rPr>
          <w:b/>
        </w:rPr>
        <w:t>0</w:t>
      </w:r>
      <w:r w:rsidR="00C7407F" w:rsidRPr="00EE0DF3">
        <w:t xml:space="preserve"> </w:t>
      </w:r>
      <w:r w:rsidR="00C7407F" w:rsidRPr="00EE0DF3">
        <w:rPr>
          <w:b/>
        </w:rPr>
        <w:t>-</w:t>
      </w:r>
      <w:r w:rsidR="00AE2268" w:rsidRPr="00EE0DF3">
        <w:rPr>
          <w:b/>
        </w:rPr>
        <w:t xml:space="preserve"> </w:t>
      </w:r>
      <w:r w:rsidR="00C7407F" w:rsidRPr="00EE0DF3">
        <w:t xml:space="preserve">(1) Bu </w:t>
      </w:r>
      <w:r w:rsidR="00327D9E" w:rsidRPr="00EE0DF3">
        <w:t>Usul ve Esaslar</w:t>
      </w:r>
      <w:r w:rsidR="00C7407F" w:rsidRPr="00EE0DF3">
        <w:t xml:space="preserve">da yer alan hükümleri </w:t>
      </w:r>
      <w:r w:rsidR="00D25D34" w:rsidRPr="00EE0DF3">
        <w:t xml:space="preserve">Enerji Piyasası Düzenleme </w:t>
      </w:r>
      <w:r w:rsidR="00232551" w:rsidRPr="00EE0DF3">
        <w:t>Kurum</w:t>
      </w:r>
      <w:r w:rsidR="00D25D34" w:rsidRPr="00EE0DF3">
        <w:t>u</w:t>
      </w:r>
      <w:r w:rsidR="00C7407F" w:rsidRPr="00EE0DF3">
        <w:t xml:space="preserve"> Başkanı yürütür.</w:t>
      </w:r>
      <w:r w:rsidR="007330C1" w:rsidRPr="00E346B5">
        <w:t xml:space="preserve"> </w:t>
      </w:r>
    </w:p>
    <w:p w:rsidR="00C7407F" w:rsidRPr="00E346B5" w:rsidRDefault="00C7407F" w:rsidP="00E67773">
      <w:pPr>
        <w:pStyle w:val="Metin"/>
        <w:spacing w:after="0"/>
      </w:pPr>
    </w:p>
    <w:sectPr w:rsidR="00C7407F" w:rsidRPr="00E346B5" w:rsidSect="008654F3">
      <w:headerReference w:type="default" r:id="rId8"/>
      <w:footerReference w:type="default" r:id="rId9"/>
      <w:pgSz w:w="11906" w:h="16838"/>
      <w:pgMar w:top="1247" w:right="1304"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1B7" w:rsidRDefault="005251B7">
      <w:r>
        <w:separator/>
      </w:r>
    </w:p>
  </w:endnote>
  <w:endnote w:type="continuationSeparator" w:id="0">
    <w:p w:rsidR="005251B7" w:rsidRDefault="005251B7">
      <w:r>
        <w:continuationSeparator/>
      </w:r>
    </w:p>
  </w:endnote>
  <w:endnote w:type="continuationNotice" w:id="1">
    <w:p w:rsidR="005251B7" w:rsidRDefault="00525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16043"/>
      <w:docPartObj>
        <w:docPartGallery w:val="Page Numbers (Bottom of Page)"/>
        <w:docPartUnique/>
      </w:docPartObj>
    </w:sdtPr>
    <w:sdtEndPr/>
    <w:sdtContent>
      <w:p w:rsidR="008654F3" w:rsidRDefault="008654F3">
        <w:pPr>
          <w:pStyle w:val="Altbilgi"/>
          <w:jc w:val="right"/>
        </w:pPr>
        <w:r>
          <w:fldChar w:fldCharType="begin"/>
        </w:r>
        <w:r>
          <w:instrText>PAGE   \* MERGEFORMAT</w:instrText>
        </w:r>
        <w:r>
          <w:fldChar w:fldCharType="separate"/>
        </w:r>
        <w:r w:rsidR="0037604B">
          <w:rPr>
            <w:noProof/>
          </w:rPr>
          <w:t>3</w:t>
        </w:r>
        <w:r>
          <w:fldChar w:fldCharType="end"/>
        </w:r>
      </w:p>
    </w:sdtContent>
  </w:sdt>
  <w:p w:rsidR="009557D9" w:rsidRDefault="009557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1B7" w:rsidRDefault="005251B7">
      <w:r>
        <w:separator/>
      </w:r>
    </w:p>
  </w:footnote>
  <w:footnote w:type="continuationSeparator" w:id="0">
    <w:p w:rsidR="005251B7" w:rsidRDefault="005251B7">
      <w:r>
        <w:continuationSeparator/>
      </w:r>
    </w:p>
  </w:footnote>
  <w:footnote w:type="continuationNotice" w:id="1">
    <w:p w:rsidR="005251B7" w:rsidRDefault="005251B7"/>
  </w:footnote>
  <w:footnote w:id="2">
    <w:p w:rsidR="00AF38C3" w:rsidRDefault="00AF38C3">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3">
    <w:p w:rsidR="00CB198F" w:rsidRDefault="00CB198F">
      <w:pPr>
        <w:pStyle w:val="DipnotMetni"/>
      </w:pPr>
      <w:r>
        <w:rPr>
          <w:rStyle w:val="DipnotBavurusu"/>
        </w:rPr>
        <w:footnoteRef/>
      </w:r>
      <w:r>
        <w:t xml:space="preserve"> 10 Kasım </w:t>
      </w:r>
      <w:bookmarkStart w:id="0" w:name="_GoBack"/>
      <w:r>
        <w:t>2018</w:t>
      </w:r>
      <w:bookmarkEnd w:id="0"/>
      <w:r>
        <w:t xml:space="preserve"> tarihli ve </w:t>
      </w:r>
      <w:r w:rsidRPr="00CB198F">
        <w:t>30591</w:t>
      </w:r>
      <w:r w:rsidRPr="00AF38C3">
        <w:t xml:space="preserve"> sayılı Resmi Gazetede yayımlanan Usul ve Esaslar ile değiştirilmiştir.</w:t>
      </w:r>
    </w:p>
  </w:footnote>
  <w:footnote w:id="4">
    <w:p w:rsidR="000F077B" w:rsidRDefault="000F077B" w:rsidP="000F077B">
      <w:pPr>
        <w:pStyle w:val="DipnotMetni"/>
      </w:pPr>
      <w:r>
        <w:rPr>
          <w:rStyle w:val="DipnotBavurusu"/>
        </w:rPr>
        <w:footnoteRef/>
      </w:r>
      <w:r>
        <w:t xml:space="preserve"> 3 Aralık 2016</w:t>
      </w:r>
      <w:r w:rsidR="00686D5B">
        <w:t xml:space="preserve"> tarihli ve </w:t>
      </w:r>
      <w:r w:rsidRPr="00AF38C3">
        <w:t>29</w:t>
      </w:r>
      <w:r>
        <w:t>907</w:t>
      </w:r>
      <w:r w:rsidRPr="00AF38C3">
        <w:t xml:space="preserve"> sayılı Resmi Gazetede yayımlanan Usul ve Esaslar ile değiştirilmiştir.</w:t>
      </w:r>
    </w:p>
  </w:footnote>
  <w:footnote w:id="5">
    <w:p w:rsidR="000F077B" w:rsidRDefault="000F077B" w:rsidP="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rsidR="00716F74">
        <w:t>eklen</w:t>
      </w:r>
      <w:r w:rsidRPr="00AF38C3">
        <w:t>miştir.</w:t>
      </w:r>
    </w:p>
  </w:footnote>
  <w:footnote w:id="6">
    <w:p w:rsidR="000F077B" w:rsidRDefault="000F077B" w:rsidP="000F077B">
      <w:pPr>
        <w:pStyle w:val="DipnotMetni"/>
      </w:pPr>
      <w:r>
        <w:rPr>
          <w:rStyle w:val="DipnotBavurusu"/>
        </w:rPr>
        <w:footnoteRef/>
      </w:r>
      <w:r>
        <w:t xml:space="preserve"> 3 Aralık 2016</w:t>
      </w:r>
      <w:r w:rsidRPr="00AF38C3">
        <w:t xml:space="preserve"> tarihli </w:t>
      </w:r>
      <w:r w:rsidR="00686D5B" w:rsidRPr="00AF38C3">
        <w:t>ve 29907</w:t>
      </w:r>
      <w:r w:rsidRPr="00AF38C3">
        <w:t xml:space="preserve"> sayılı Resmi Gazetede yayımlanan Usul ve Esaslar ile değiştirilmiştir.</w:t>
      </w:r>
    </w:p>
  </w:footnote>
  <w:footnote w:id="7">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8">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9">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0">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w:t>
      </w:r>
      <w:r w:rsidR="00716F74">
        <w:t>yayımlanan Usul ve Esaslar ile eklen</w:t>
      </w:r>
      <w:r w:rsidRPr="00AF38C3">
        <w:t>miştir.</w:t>
      </w:r>
    </w:p>
  </w:footnote>
  <w:footnote w:id="11">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2">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3">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4">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5">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6">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7">
    <w:p w:rsidR="000F077B" w:rsidRDefault="000F077B">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8">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19">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20">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21">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22">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eklen</w:t>
      </w:r>
      <w:r w:rsidRPr="00AF38C3">
        <w:t>miştir.</w:t>
      </w:r>
    </w:p>
  </w:footnote>
  <w:footnote w:id="23">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24">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değiştirilmiştir.</w:t>
      </w:r>
    </w:p>
  </w:footnote>
  <w:footnote w:id="25">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eklenmiştir</w:t>
      </w:r>
      <w:r w:rsidRPr="00AF38C3">
        <w:t>.</w:t>
      </w:r>
    </w:p>
  </w:footnote>
  <w:footnote w:id="26">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27">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28">
    <w:p w:rsidR="00716F74" w:rsidRDefault="00716F74">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29">
    <w:p w:rsidR="0009033C" w:rsidRDefault="0009033C">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eklenmiştir.</w:t>
      </w:r>
    </w:p>
  </w:footnote>
  <w:footnote w:id="30">
    <w:p w:rsidR="0009033C" w:rsidRDefault="0009033C">
      <w:pPr>
        <w:pStyle w:val="DipnotMetni"/>
      </w:pPr>
      <w:r>
        <w:rPr>
          <w:rStyle w:val="DipnotBavurusu"/>
        </w:rPr>
        <w:footnoteRef/>
      </w:r>
      <w:r>
        <w:t xml:space="preserve"> </w:t>
      </w:r>
      <w:r w:rsidR="007115B8">
        <w:t>3 Aralık 2016</w:t>
      </w:r>
      <w:r w:rsidR="00686D5B">
        <w:t xml:space="preserve"> tarihli ve 2</w:t>
      </w:r>
      <w:r w:rsidR="007115B8" w:rsidRPr="00AF38C3">
        <w:t>9</w:t>
      </w:r>
      <w:r w:rsidR="007115B8">
        <w:t>907</w:t>
      </w:r>
      <w:r w:rsidR="007115B8" w:rsidRPr="00AF38C3">
        <w:t xml:space="preserve"> sayılı Resmi Gazetede yayımlanan Usul ve Esaslar ile </w:t>
      </w:r>
      <w:r w:rsidR="007115B8">
        <w:t>değiştirilmiştir.</w:t>
      </w:r>
    </w:p>
  </w:footnote>
  <w:footnote w:id="31">
    <w:p w:rsidR="0009033C" w:rsidRDefault="0009033C">
      <w:pPr>
        <w:pStyle w:val="DipnotMetni"/>
      </w:pPr>
      <w:r>
        <w:rPr>
          <w:rStyle w:val="DipnotBavurusu"/>
        </w:rPr>
        <w:footnoteRef/>
      </w:r>
      <w:r>
        <w:t xml:space="preserve"> </w:t>
      </w:r>
      <w:r w:rsidR="007115B8">
        <w:t>3 Aralık 2016</w:t>
      </w:r>
      <w:r w:rsidR="007115B8" w:rsidRPr="00AF38C3">
        <w:t xml:space="preserve"> tarihli ve 29</w:t>
      </w:r>
      <w:r w:rsidR="007115B8">
        <w:t>907</w:t>
      </w:r>
      <w:r w:rsidR="007115B8" w:rsidRPr="00AF38C3">
        <w:t xml:space="preserve"> sayılı Resmi Gazetede yayımlanan Usul ve Esaslar ile </w:t>
      </w:r>
      <w:r w:rsidR="007115B8">
        <w:t>değiştirilmiştir.</w:t>
      </w:r>
    </w:p>
  </w:footnote>
  <w:footnote w:id="32">
    <w:p w:rsidR="0009033C" w:rsidRDefault="0009033C">
      <w:pPr>
        <w:pStyle w:val="DipnotMetni"/>
      </w:pPr>
      <w:r>
        <w:rPr>
          <w:rStyle w:val="DipnotBavurusu"/>
        </w:rPr>
        <w:footnoteRef/>
      </w:r>
      <w:r>
        <w:t xml:space="preserve"> </w:t>
      </w:r>
      <w:r w:rsidR="007115B8">
        <w:t>3 Aralık 2016</w:t>
      </w:r>
      <w:r w:rsidR="007115B8" w:rsidRPr="00AF38C3">
        <w:t xml:space="preserve"> tarihli ve 29</w:t>
      </w:r>
      <w:r w:rsidR="007115B8">
        <w:t>907</w:t>
      </w:r>
      <w:r w:rsidR="007115B8" w:rsidRPr="00AF38C3">
        <w:t xml:space="preserve"> sayılı Resmi Gazetede yayımlanan Usul ve Esaslar ile </w:t>
      </w:r>
      <w:r w:rsidR="007115B8">
        <w:t>değiştirilmiştir.</w:t>
      </w:r>
    </w:p>
  </w:footnote>
  <w:footnote w:id="33">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eklenmiştir.</w:t>
      </w:r>
    </w:p>
  </w:footnote>
  <w:footnote w:id="34">
    <w:p w:rsidR="00BB1895" w:rsidRDefault="00BB1895">
      <w:pPr>
        <w:pStyle w:val="DipnotMetni"/>
      </w:pPr>
      <w:r>
        <w:rPr>
          <w:rStyle w:val="DipnotBavurusu"/>
        </w:rPr>
        <w:footnoteRef/>
      </w:r>
      <w:r>
        <w:t xml:space="preserve"> </w:t>
      </w:r>
      <w:r w:rsidRPr="00BB1895">
        <w:t>30 Eylül 2017 tarihli ve 30196 sayılı Resmî Gazete</w:t>
      </w:r>
      <w:r>
        <w:t xml:space="preserve">de </w:t>
      </w:r>
      <w:r w:rsidRPr="00AF38C3">
        <w:t xml:space="preserve">yayımlanan Usul ve Esaslar ile </w:t>
      </w:r>
      <w:r>
        <w:t>eklenmiştir.</w:t>
      </w:r>
    </w:p>
  </w:footnote>
  <w:footnote w:id="35">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36">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37">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38">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39">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değiştirilmiştir.</w:t>
      </w:r>
    </w:p>
  </w:footnote>
  <w:footnote w:id="40">
    <w:p w:rsidR="007115B8" w:rsidRDefault="007115B8">
      <w:pPr>
        <w:pStyle w:val="DipnotMetni"/>
      </w:pPr>
      <w:r>
        <w:rPr>
          <w:rStyle w:val="DipnotBavurusu"/>
        </w:rPr>
        <w:footnoteRef/>
      </w:r>
      <w:r>
        <w:t xml:space="preserve"> 3 Aralık 2016</w:t>
      </w:r>
      <w:r w:rsidRPr="00AF38C3">
        <w:t xml:space="preserve"> tarihli ve 29</w:t>
      </w:r>
      <w:r>
        <w:t>907</w:t>
      </w:r>
      <w:r w:rsidRPr="00AF38C3">
        <w:t xml:space="preserve"> sayılı Resmi Gazetede yayımlanan Usul ve Esaslar ile </w:t>
      </w:r>
      <w:r>
        <w:t>eklenmiştir.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45" w:rsidRPr="00A94645" w:rsidRDefault="00A94645" w:rsidP="00A94645">
    <w:pPr>
      <w:pStyle w:val="stbilgi"/>
      <w:rPr>
        <w:sz w:val="24"/>
        <w:szCs w:val="24"/>
      </w:rPr>
    </w:pPr>
    <w:r w:rsidRPr="00A94645">
      <w:rPr>
        <w:rFonts w:ascii="Arial" w:hAnsi="Arial" w:cs="Arial"/>
        <w:b/>
        <w:bCs/>
        <w:sz w:val="24"/>
        <w:szCs w:val="24"/>
      </w:rPr>
      <w:t xml:space="preserve">                                </w:t>
    </w:r>
    <w:r w:rsidRPr="00A94645">
      <w:rPr>
        <w:rFonts w:ascii="Arial" w:hAnsi="Arial" w:cs="Arial"/>
        <w:b/>
        <w:bCs/>
        <w:sz w:val="24"/>
        <w:szCs w:val="24"/>
        <w:highlight w:val="yellow"/>
      </w:rPr>
      <w:t>28 Kasım 2015 Tarihli ve 29546 Sayılı Resmî Gazete</w:t>
    </w:r>
  </w:p>
  <w:p w:rsidR="00A94645" w:rsidRDefault="00A946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E5E"/>
    <w:multiLevelType w:val="hybridMultilevel"/>
    <w:tmpl w:val="7F846028"/>
    <w:lvl w:ilvl="0" w:tplc="DA348706">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16B05CD"/>
    <w:multiLevelType w:val="hybridMultilevel"/>
    <w:tmpl w:val="A5ECFA16"/>
    <w:lvl w:ilvl="0" w:tplc="591AB0E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DE7BDB"/>
    <w:multiLevelType w:val="hybridMultilevel"/>
    <w:tmpl w:val="3560F44C"/>
    <w:lvl w:ilvl="0" w:tplc="F2007698">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031F2A"/>
    <w:multiLevelType w:val="hybridMultilevel"/>
    <w:tmpl w:val="2D08F4FE"/>
    <w:lvl w:ilvl="0" w:tplc="58AC1D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D413BC"/>
    <w:multiLevelType w:val="hybridMultilevel"/>
    <w:tmpl w:val="7EDA1156"/>
    <w:lvl w:ilvl="0" w:tplc="EBC21008">
      <w:start w:val="1"/>
      <w:numFmt w:val="lowerLetter"/>
      <w:lvlText w:val="%1)"/>
      <w:lvlJc w:val="left"/>
      <w:pPr>
        <w:tabs>
          <w:tab w:val="num" w:pos="1680"/>
        </w:tabs>
        <w:ind w:left="1680" w:hanging="360"/>
      </w:pPr>
      <w:rPr>
        <w:rFonts w:ascii="Times New Roman" w:eastAsia="Times New Roman" w:hAnsi="Times New Roman" w:cs="Times New Roman"/>
        <w:b w:val="0"/>
        <w:bCs/>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8990A2E"/>
    <w:multiLevelType w:val="hybridMultilevel"/>
    <w:tmpl w:val="8DBCE388"/>
    <w:lvl w:ilvl="0" w:tplc="2B38673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09E721D5"/>
    <w:multiLevelType w:val="hybridMultilevel"/>
    <w:tmpl w:val="52F4C02A"/>
    <w:lvl w:ilvl="0" w:tplc="CC7EB0B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DA22BFA"/>
    <w:multiLevelType w:val="hybridMultilevel"/>
    <w:tmpl w:val="D89A2ABA"/>
    <w:lvl w:ilvl="0" w:tplc="637CF3DC">
      <w:start w:val="1"/>
      <w:numFmt w:val="upperRoman"/>
      <w:lvlText w:val="%1)"/>
      <w:lvlJc w:val="left"/>
      <w:pPr>
        <w:ind w:left="1004" w:hanging="72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0DD8409C"/>
    <w:multiLevelType w:val="hybridMultilevel"/>
    <w:tmpl w:val="5D8E94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C2384C"/>
    <w:multiLevelType w:val="hybridMultilevel"/>
    <w:tmpl w:val="C33E949E"/>
    <w:lvl w:ilvl="0" w:tplc="2ABE0FC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1192983"/>
    <w:multiLevelType w:val="hybridMultilevel"/>
    <w:tmpl w:val="C72EE9FE"/>
    <w:lvl w:ilvl="0" w:tplc="8E6AF23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2D82C15"/>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1F400C"/>
    <w:multiLevelType w:val="hybridMultilevel"/>
    <w:tmpl w:val="8ACAD55A"/>
    <w:lvl w:ilvl="0" w:tplc="9F202B82">
      <w:start w:val="1"/>
      <w:numFmt w:val="upp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15256B68"/>
    <w:multiLevelType w:val="hybridMultilevel"/>
    <w:tmpl w:val="DE7A8758"/>
    <w:lvl w:ilvl="0" w:tplc="BB9E3184">
      <w:start w:val="1"/>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17FB3C76"/>
    <w:multiLevelType w:val="hybridMultilevel"/>
    <w:tmpl w:val="1AD6E7EE"/>
    <w:lvl w:ilvl="0" w:tplc="7F86A7C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CB63B22"/>
    <w:multiLevelType w:val="hybridMultilevel"/>
    <w:tmpl w:val="ED22BF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B71F60"/>
    <w:multiLevelType w:val="hybridMultilevel"/>
    <w:tmpl w:val="626C3016"/>
    <w:lvl w:ilvl="0" w:tplc="041F000F">
      <w:start w:val="1"/>
      <w:numFmt w:val="decimal"/>
      <w:lvlText w:val="%1."/>
      <w:lvlJc w:val="left"/>
      <w:pPr>
        <w:tabs>
          <w:tab w:val="num" w:pos="720"/>
        </w:tabs>
        <w:ind w:left="720" w:hanging="360"/>
      </w:pPr>
    </w:lvl>
    <w:lvl w:ilvl="1" w:tplc="041F0005">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1E6255AA"/>
    <w:multiLevelType w:val="hybridMultilevel"/>
    <w:tmpl w:val="FEA225CC"/>
    <w:lvl w:ilvl="0" w:tplc="80FA787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201336"/>
    <w:multiLevelType w:val="hybridMultilevel"/>
    <w:tmpl w:val="D2524E68"/>
    <w:lvl w:ilvl="0" w:tplc="FA124FB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20714F35"/>
    <w:multiLevelType w:val="hybridMultilevel"/>
    <w:tmpl w:val="2222D648"/>
    <w:lvl w:ilvl="0" w:tplc="1DB87A5C">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24D0ACB"/>
    <w:multiLevelType w:val="hybridMultilevel"/>
    <w:tmpl w:val="3BF6D3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4AE6B00"/>
    <w:multiLevelType w:val="hybridMultilevel"/>
    <w:tmpl w:val="18F61A38"/>
    <w:lvl w:ilvl="0" w:tplc="C8D66C24">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25B557A2"/>
    <w:multiLevelType w:val="hybridMultilevel"/>
    <w:tmpl w:val="7E8432BE"/>
    <w:lvl w:ilvl="0" w:tplc="041F0017">
      <w:start w:val="1"/>
      <w:numFmt w:val="lowerLetter"/>
      <w:lvlText w:val="%1)"/>
      <w:lvlJc w:val="left"/>
      <w:pPr>
        <w:ind w:left="720" w:hanging="360"/>
      </w:pPr>
    </w:lvl>
    <w:lvl w:ilvl="1" w:tplc="933601C6">
      <w:start w:val="1"/>
      <w:numFmt w:val="lowerLetter"/>
      <w:lvlText w:val="%2."/>
      <w:lvlJc w:val="left"/>
      <w:pPr>
        <w:tabs>
          <w:tab w:val="num" w:pos="1440"/>
        </w:tabs>
        <w:ind w:left="1440" w:hanging="72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72D31B4"/>
    <w:multiLevelType w:val="hybridMultilevel"/>
    <w:tmpl w:val="0F8AA760"/>
    <w:lvl w:ilvl="0" w:tplc="041F0005">
      <w:start w:val="1"/>
      <w:numFmt w:val="bullet"/>
      <w:lvlText w:val=""/>
      <w:lvlJc w:val="left"/>
      <w:pPr>
        <w:tabs>
          <w:tab w:val="num" w:pos="1680"/>
        </w:tabs>
        <w:ind w:left="1680" w:hanging="360"/>
      </w:pPr>
      <w:rPr>
        <w:rFonts w:ascii="Wingdings" w:hAnsi="Wingdings" w:hint="default"/>
        <w:b w:val="0"/>
        <w:bCs/>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281B4B30"/>
    <w:multiLevelType w:val="hybridMultilevel"/>
    <w:tmpl w:val="16FAB436"/>
    <w:lvl w:ilvl="0" w:tplc="F9480466">
      <w:start w:val="1"/>
      <w:numFmt w:val="decimal"/>
      <w:lvlText w:val="(%1)"/>
      <w:lvlJc w:val="left"/>
      <w:pPr>
        <w:tabs>
          <w:tab w:val="num" w:pos="2009"/>
        </w:tabs>
        <w:ind w:left="2009" w:hanging="1215"/>
      </w:pPr>
      <w:rPr>
        <w:rFonts w:hint="default"/>
      </w:rPr>
    </w:lvl>
    <w:lvl w:ilvl="1" w:tplc="041F0019" w:tentative="1">
      <w:start w:val="1"/>
      <w:numFmt w:val="lowerLetter"/>
      <w:lvlText w:val="%2."/>
      <w:lvlJc w:val="left"/>
      <w:pPr>
        <w:tabs>
          <w:tab w:val="num" w:pos="1874"/>
        </w:tabs>
        <w:ind w:left="1874" w:hanging="360"/>
      </w:pPr>
    </w:lvl>
    <w:lvl w:ilvl="2" w:tplc="041F001B" w:tentative="1">
      <w:start w:val="1"/>
      <w:numFmt w:val="lowerRoman"/>
      <w:lvlText w:val="%3."/>
      <w:lvlJc w:val="right"/>
      <w:pPr>
        <w:tabs>
          <w:tab w:val="num" w:pos="2594"/>
        </w:tabs>
        <w:ind w:left="2594" w:hanging="180"/>
      </w:pPr>
    </w:lvl>
    <w:lvl w:ilvl="3" w:tplc="041F000F" w:tentative="1">
      <w:start w:val="1"/>
      <w:numFmt w:val="decimal"/>
      <w:lvlText w:val="%4."/>
      <w:lvlJc w:val="left"/>
      <w:pPr>
        <w:tabs>
          <w:tab w:val="num" w:pos="3314"/>
        </w:tabs>
        <w:ind w:left="3314" w:hanging="360"/>
      </w:pPr>
    </w:lvl>
    <w:lvl w:ilvl="4" w:tplc="041F0019" w:tentative="1">
      <w:start w:val="1"/>
      <w:numFmt w:val="lowerLetter"/>
      <w:lvlText w:val="%5."/>
      <w:lvlJc w:val="left"/>
      <w:pPr>
        <w:tabs>
          <w:tab w:val="num" w:pos="4034"/>
        </w:tabs>
        <w:ind w:left="4034" w:hanging="360"/>
      </w:pPr>
    </w:lvl>
    <w:lvl w:ilvl="5" w:tplc="041F001B" w:tentative="1">
      <w:start w:val="1"/>
      <w:numFmt w:val="lowerRoman"/>
      <w:lvlText w:val="%6."/>
      <w:lvlJc w:val="right"/>
      <w:pPr>
        <w:tabs>
          <w:tab w:val="num" w:pos="4754"/>
        </w:tabs>
        <w:ind w:left="4754" w:hanging="180"/>
      </w:pPr>
    </w:lvl>
    <w:lvl w:ilvl="6" w:tplc="041F000F" w:tentative="1">
      <w:start w:val="1"/>
      <w:numFmt w:val="decimal"/>
      <w:lvlText w:val="%7."/>
      <w:lvlJc w:val="left"/>
      <w:pPr>
        <w:tabs>
          <w:tab w:val="num" w:pos="5474"/>
        </w:tabs>
        <w:ind w:left="5474" w:hanging="360"/>
      </w:pPr>
    </w:lvl>
    <w:lvl w:ilvl="7" w:tplc="041F0019" w:tentative="1">
      <w:start w:val="1"/>
      <w:numFmt w:val="lowerLetter"/>
      <w:lvlText w:val="%8."/>
      <w:lvlJc w:val="left"/>
      <w:pPr>
        <w:tabs>
          <w:tab w:val="num" w:pos="6194"/>
        </w:tabs>
        <w:ind w:left="6194" w:hanging="360"/>
      </w:pPr>
    </w:lvl>
    <w:lvl w:ilvl="8" w:tplc="041F001B" w:tentative="1">
      <w:start w:val="1"/>
      <w:numFmt w:val="lowerRoman"/>
      <w:lvlText w:val="%9."/>
      <w:lvlJc w:val="right"/>
      <w:pPr>
        <w:tabs>
          <w:tab w:val="num" w:pos="6914"/>
        </w:tabs>
        <w:ind w:left="6914" w:hanging="180"/>
      </w:pPr>
    </w:lvl>
  </w:abstractNum>
  <w:abstractNum w:abstractNumId="25" w15:restartNumberingAfterBreak="0">
    <w:nsid w:val="2A7E6779"/>
    <w:multiLevelType w:val="hybridMultilevel"/>
    <w:tmpl w:val="12489E4C"/>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6" w15:restartNumberingAfterBreak="0">
    <w:nsid w:val="2FB56785"/>
    <w:multiLevelType w:val="hybridMultilevel"/>
    <w:tmpl w:val="8CC87B8C"/>
    <w:lvl w:ilvl="0" w:tplc="DC2C088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2A656C8"/>
    <w:multiLevelType w:val="hybridMultilevel"/>
    <w:tmpl w:val="1AD235C4"/>
    <w:lvl w:ilvl="0" w:tplc="CC0C6A92">
      <w:start w:val="1"/>
      <w:numFmt w:val="lowerLetter"/>
      <w:lvlText w:val="%1)"/>
      <w:lvlJc w:val="left"/>
      <w:pPr>
        <w:ind w:left="990" w:hanging="360"/>
      </w:pPr>
      <w:rPr>
        <w:rFonts w:cs="Times New Roman" w:hint="default"/>
      </w:rPr>
    </w:lvl>
    <w:lvl w:ilvl="1" w:tplc="041F0019" w:tentative="1">
      <w:start w:val="1"/>
      <w:numFmt w:val="lowerLetter"/>
      <w:lvlText w:val="%2."/>
      <w:lvlJc w:val="left"/>
      <w:pPr>
        <w:ind w:left="1710" w:hanging="360"/>
      </w:pPr>
      <w:rPr>
        <w:rFonts w:cs="Times New Roman"/>
      </w:rPr>
    </w:lvl>
    <w:lvl w:ilvl="2" w:tplc="041F001B" w:tentative="1">
      <w:start w:val="1"/>
      <w:numFmt w:val="lowerRoman"/>
      <w:lvlText w:val="%3."/>
      <w:lvlJc w:val="right"/>
      <w:pPr>
        <w:ind w:left="2430" w:hanging="180"/>
      </w:pPr>
      <w:rPr>
        <w:rFonts w:cs="Times New Roman"/>
      </w:rPr>
    </w:lvl>
    <w:lvl w:ilvl="3" w:tplc="041F000F" w:tentative="1">
      <w:start w:val="1"/>
      <w:numFmt w:val="decimal"/>
      <w:lvlText w:val="%4."/>
      <w:lvlJc w:val="left"/>
      <w:pPr>
        <w:ind w:left="3150" w:hanging="360"/>
      </w:pPr>
      <w:rPr>
        <w:rFonts w:cs="Times New Roman"/>
      </w:rPr>
    </w:lvl>
    <w:lvl w:ilvl="4" w:tplc="041F0019" w:tentative="1">
      <w:start w:val="1"/>
      <w:numFmt w:val="lowerLetter"/>
      <w:lvlText w:val="%5."/>
      <w:lvlJc w:val="left"/>
      <w:pPr>
        <w:ind w:left="3870" w:hanging="360"/>
      </w:pPr>
      <w:rPr>
        <w:rFonts w:cs="Times New Roman"/>
      </w:rPr>
    </w:lvl>
    <w:lvl w:ilvl="5" w:tplc="041F001B" w:tentative="1">
      <w:start w:val="1"/>
      <w:numFmt w:val="lowerRoman"/>
      <w:lvlText w:val="%6."/>
      <w:lvlJc w:val="right"/>
      <w:pPr>
        <w:ind w:left="4590" w:hanging="180"/>
      </w:pPr>
      <w:rPr>
        <w:rFonts w:cs="Times New Roman"/>
      </w:rPr>
    </w:lvl>
    <w:lvl w:ilvl="6" w:tplc="041F000F" w:tentative="1">
      <w:start w:val="1"/>
      <w:numFmt w:val="decimal"/>
      <w:lvlText w:val="%7."/>
      <w:lvlJc w:val="left"/>
      <w:pPr>
        <w:ind w:left="5310" w:hanging="360"/>
      </w:pPr>
      <w:rPr>
        <w:rFonts w:cs="Times New Roman"/>
      </w:rPr>
    </w:lvl>
    <w:lvl w:ilvl="7" w:tplc="041F0019" w:tentative="1">
      <w:start w:val="1"/>
      <w:numFmt w:val="lowerLetter"/>
      <w:lvlText w:val="%8."/>
      <w:lvlJc w:val="left"/>
      <w:pPr>
        <w:ind w:left="6030" w:hanging="360"/>
      </w:pPr>
      <w:rPr>
        <w:rFonts w:cs="Times New Roman"/>
      </w:rPr>
    </w:lvl>
    <w:lvl w:ilvl="8" w:tplc="041F001B" w:tentative="1">
      <w:start w:val="1"/>
      <w:numFmt w:val="lowerRoman"/>
      <w:lvlText w:val="%9."/>
      <w:lvlJc w:val="right"/>
      <w:pPr>
        <w:ind w:left="6750" w:hanging="180"/>
      </w:pPr>
      <w:rPr>
        <w:rFonts w:cs="Times New Roman"/>
      </w:rPr>
    </w:lvl>
  </w:abstractNum>
  <w:abstractNum w:abstractNumId="28" w15:restartNumberingAfterBreak="0">
    <w:nsid w:val="3A045F42"/>
    <w:multiLevelType w:val="hybridMultilevel"/>
    <w:tmpl w:val="98C411FE"/>
    <w:lvl w:ilvl="0" w:tplc="9A7E7F66">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3AA914F6"/>
    <w:multiLevelType w:val="hybridMultilevel"/>
    <w:tmpl w:val="1FAC840C"/>
    <w:lvl w:ilvl="0" w:tplc="D60C454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E9F2CA9"/>
    <w:multiLevelType w:val="multilevel"/>
    <w:tmpl w:val="53E4B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566129E"/>
    <w:multiLevelType w:val="singleLevel"/>
    <w:tmpl w:val="0C090017"/>
    <w:lvl w:ilvl="0">
      <w:start w:val="1"/>
      <w:numFmt w:val="lowerLetter"/>
      <w:lvlText w:val="%1)"/>
      <w:lvlJc w:val="left"/>
      <w:pPr>
        <w:tabs>
          <w:tab w:val="num" w:pos="360"/>
        </w:tabs>
        <w:ind w:left="360" w:hanging="360"/>
      </w:pPr>
    </w:lvl>
  </w:abstractNum>
  <w:abstractNum w:abstractNumId="32" w15:restartNumberingAfterBreak="0">
    <w:nsid w:val="489071F0"/>
    <w:multiLevelType w:val="hybridMultilevel"/>
    <w:tmpl w:val="C58E81FE"/>
    <w:lvl w:ilvl="0" w:tplc="EBC21008">
      <w:start w:val="1"/>
      <w:numFmt w:val="lowerLetter"/>
      <w:lvlText w:val="%1)"/>
      <w:lvlJc w:val="left"/>
      <w:pPr>
        <w:tabs>
          <w:tab w:val="num" w:pos="1680"/>
        </w:tabs>
        <w:ind w:left="1680" w:hanging="360"/>
      </w:pPr>
      <w:rPr>
        <w:rFonts w:ascii="Times New Roman" w:eastAsia="Times New Roman" w:hAnsi="Times New Roman" w:cs="Times New Roman"/>
        <w:b w:val="0"/>
        <w:bCs/>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4C6D2812"/>
    <w:multiLevelType w:val="hybridMultilevel"/>
    <w:tmpl w:val="87BE2B62"/>
    <w:lvl w:ilvl="0" w:tplc="B39A8D2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F62BBF"/>
    <w:multiLevelType w:val="hybridMultilevel"/>
    <w:tmpl w:val="680A9D36"/>
    <w:lvl w:ilvl="0" w:tplc="30C6907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0BE53FE"/>
    <w:multiLevelType w:val="hybridMultilevel"/>
    <w:tmpl w:val="22C4282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6B42EE"/>
    <w:multiLevelType w:val="hybridMultilevel"/>
    <w:tmpl w:val="57D87F6A"/>
    <w:lvl w:ilvl="0" w:tplc="7946DC94">
      <w:start w:val="1"/>
      <w:numFmt w:val="lowerLetter"/>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4F75352"/>
    <w:multiLevelType w:val="hybridMultilevel"/>
    <w:tmpl w:val="AC723B02"/>
    <w:lvl w:ilvl="0" w:tplc="3236B76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B0F2021"/>
    <w:multiLevelType w:val="multilevel"/>
    <w:tmpl w:val="589A9E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800DF3"/>
    <w:multiLevelType w:val="hybridMultilevel"/>
    <w:tmpl w:val="1A86D136"/>
    <w:lvl w:ilvl="0" w:tplc="924CDED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F00316D"/>
    <w:multiLevelType w:val="multilevel"/>
    <w:tmpl w:val="808A9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531B1D"/>
    <w:multiLevelType w:val="hybridMultilevel"/>
    <w:tmpl w:val="0D80688E"/>
    <w:lvl w:ilvl="0" w:tplc="8ED86F14">
      <w:start w:val="1"/>
      <w:numFmt w:val="decimal"/>
      <w:lvlText w:val="%1."/>
      <w:lvlJc w:val="left"/>
      <w:pPr>
        <w:ind w:left="927" w:hanging="360"/>
      </w:pPr>
      <w:rPr>
        <w:rFonts w:hint="default"/>
        <w:b/>
        <w:sz w:val="24"/>
        <w:szCs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42E5913"/>
    <w:multiLevelType w:val="hybridMultilevel"/>
    <w:tmpl w:val="803E53D8"/>
    <w:lvl w:ilvl="0" w:tplc="2338A5F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F37FC0"/>
    <w:multiLevelType w:val="hybridMultilevel"/>
    <w:tmpl w:val="86EED718"/>
    <w:lvl w:ilvl="0" w:tplc="6E425F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935827"/>
    <w:multiLevelType w:val="hybridMultilevel"/>
    <w:tmpl w:val="7EEA48B8"/>
    <w:lvl w:ilvl="0" w:tplc="F6BE6EC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E8630A1"/>
    <w:multiLevelType w:val="hybridMultilevel"/>
    <w:tmpl w:val="8880074E"/>
    <w:lvl w:ilvl="0" w:tplc="C02E1B14">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4"/>
  </w:num>
  <w:num w:numId="3">
    <w:abstractNumId w:val="31"/>
  </w:num>
  <w:num w:numId="4">
    <w:abstractNumId w:val="4"/>
  </w:num>
  <w:num w:numId="5">
    <w:abstractNumId w:val="16"/>
  </w:num>
  <w:num w:numId="6">
    <w:abstractNumId w:val="32"/>
  </w:num>
  <w:num w:numId="7">
    <w:abstractNumId w:val="23"/>
  </w:num>
  <w:num w:numId="8">
    <w:abstractNumId w:val="35"/>
  </w:num>
  <w:num w:numId="9">
    <w:abstractNumId w:val="18"/>
  </w:num>
  <w:num w:numId="10">
    <w:abstractNumId w:val="28"/>
  </w:num>
  <w:num w:numId="11">
    <w:abstractNumId w:val="44"/>
  </w:num>
  <w:num w:numId="12">
    <w:abstractNumId w:val="6"/>
  </w:num>
  <w:num w:numId="13">
    <w:abstractNumId w:val="43"/>
  </w:num>
  <w:num w:numId="14">
    <w:abstractNumId w:val="27"/>
  </w:num>
  <w:num w:numId="15">
    <w:abstractNumId w:val="21"/>
  </w:num>
  <w:num w:numId="16">
    <w:abstractNumId w:val="30"/>
  </w:num>
  <w:num w:numId="17">
    <w:abstractNumId w:val="13"/>
  </w:num>
  <w:num w:numId="18">
    <w:abstractNumId w:val="40"/>
  </w:num>
  <w:num w:numId="19">
    <w:abstractNumId w:val="3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2"/>
  </w:num>
  <w:num w:numId="24">
    <w:abstractNumId w:val="5"/>
  </w:num>
  <w:num w:numId="25">
    <w:abstractNumId w:val="34"/>
  </w:num>
  <w:num w:numId="26">
    <w:abstractNumId w:val="1"/>
  </w:num>
  <w:num w:numId="27">
    <w:abstractNumId w:val="33"/>
  </w:num>
  <w:num w:numId="28">
    <w:abstractNumId w:val="11"/>
  </w:num>
  <w:num w:numId="29">
    <w:abstractNumId w:val="29"/>
  </w:num>
  <w:num w:numId="30">
    <w:abstractNumId w:val="26"/>
  </w:num>
  <w:num w:numId="31">
    <w:abstractNumId w:val="0"/>
  </w:num>
  <w:num w:numId="32">
    <w:abstractNumId w:val="39"/>
  </w:num>
  <w:num w:numId="33">
    <w:abstractNumId w:val="14"/>
  </w:num>
  <w:num w:numId="34">
    <w:abstractNumId w:val="15"/>
  </w:num>
  <w:num w:numId="35">
    <w:abstractNumId w:val="8"/>
  </w:num>
  <w:num w:numId="36">
    <w:abstractNumId w:val="22"/>
  </w:num>
  <w:num w:numId="37">
    <w:abstractNumId w:val="17"/>
  </w:num>
  <w:num w:numId="38">
    <w:abstractNumId w:val="3"/>
  </w:num>
  <w:num w:numId="39">
    <w:abstractNumId w:val="45"/>
  </w:num>
  <w:num w:numId="40">
    <w:abstractNumId w:val="36"/>
  </w:num>
  <w:num w:numId="41">
    <w:abstractNumId w:val="10"/>
  </w:num>
  <w:num w:numId="42">
    <w:abstractNumId w:val="7"/>
  </w:num>
  <w:num w:numId="43">
    <w:abstractNumId w:val="2"/>
  </w:num>
  <w:num w:numId="44">
    <w:abstractNumId w:val="37"/>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43"/>
    <w:rsid w:val="0000040E"/>
    <w:rsid w:val="0000171F"/>
    <w:rsid w:val="00001AF2"/>
    <w:rsid w:val="00004EEE"/>
    <w:rsid w:val="00007434"/>
    <w:rsid w:val="00012D12"/>
    <w:rsid w:val="00012E74"/>
    <w:rsid w:val="000158E9"/>
    <w:rsid w:val="00015D81"/>
    <w:rsid w:val="000168BC"/>
    <w:rsid w:val="00016E64"/>
    <w:rsid w:val="00017861"/>
    <w:rsid w:val="00021A6D"/>
    <w:rsid w:val="00023F58"/>
    <w:rsid w:val="0003007E"/>
    <w:rsid w:val="00030091"/>
    <w:rsid w:val="00031233"/>
    <w:rsid w:val="000314EF"/>
    <w:rsid w:val="00031A4B"/>
    <w:rsid w:val="000371DE"/>
    <w:rsid w:val="00037C7E"/>
    <w:rsid w:val="000404EC"/>
    <w:rsid w:val="000454D7"/>
    <w:rsid w:val="00051A09"/>
    <w:rsid w:val="00051D26"/>
    <w:rsid w:val="00051EC5"/>
    <w:rsid w:val="00052D76"/>
    <w:rsid w:val="00053B7B"/>
    <w:rsid w:val="00060446"/>
    <w:rsid w:val="0006171C"/>
    <w:rsid w:val="00061E8F"/>
    <w:rsid w:val="00062EFD"/>
    <w:rsid w:val="00067242"/>
    <w:rsid w:val="00071F1E"/>
    <w:rsid w:val="00072D86"/>
    <w:rsid w:val="00073829"/>
    <w:rsid w:val="00074A44"/>
    <w:rsid w:val="000770D2"/>
    <w:rsid w:val="00081BF8"/>
    <w:rsid w:val="000825EA"/>
    <w:rsid w:val="00083145"/>
    <w:rsid w:val="00083726"/>
    <w:rsid w:val="00084447"/>
    <w:rsid w:val="00084519"/>
    <w:rsid w:val="00084AF2"/>
    <w:rsid w:val="00084EA5"/>
    <w:rsid w:val="00085552"/>
    <w:rsid w:val="00086FE7"/>
    <w:rsid w:val="00090120"/>
    <w:rsid w:val="0009033C"/>
    <w:rsid w:val="0009064B"/>
    <w:rsid w:val="000921FD"/>
    <w:rsid w:val="00092238"/>
    <w:rsid w:val="0009229E"/>
    <w:rsid w:val="00094A07"/>
    <w:rsid w:val="00094E22"/>
    <w:rsid w:val="00094F47"/>
    <w:rsid w:val="00094F5A"/>
    <w:rsid w:val="00095497"/>
    <w:rsid w:val="00097200"/>
    <w:rsid w:val="000A1239"/>
    <w:rsid w:val="000A245D"/>
    <w:rsid w:val="000A5DC8"/>
    <w:rsid w:val="000A70C7"/>
    <w:rsid w:val="000A77E9"/>
    <w:rsid w:val="000B0D27"/>
    <w:rsid w:val="000B1767"/>
    <w:rsid w:val="000B2F13"/>
    <w:rsid w:val="000B526F"/>
    <w:rsid w:val="000B6E7F"/>
    <w:rsid w:val="000C205E"/>
    <w:rsid w:val="000C3E9B"/>
    <w:rsid w:val="000C485F"/>
    <w:rsid w:val="000C5D70"/>
    <w:rsid w:val="000C77EB"/>
    <w:rsid w:val="000D088C"/>
    <w:rsid w:val="000D2508"/>
    <w:rsid w:val="000D45C8"/>
    <w:rsid w:val="000E1544"/>
    <w:rsid w:val="000E3F1A"/>
    <w:rsid w:val="000E46E7"/>
    <w:rsid w:val="000E6AF2"/>
    <w:rsid w:val="000E79D3"/>
    <w:rsid w:val="000F077B"/>
    <w:rsid w:val="0010140B"/>
    <w:rsid w:val="00102DF6"/>
    <w:rsid w:val="0010360C"/>
    <w:rsid w:val="00105C2C"/>
    <w:rsid w:val="00107B01"/>
    <w:rsid w:val="0011040C"/>
    <w:rsid w:val="001116C9"/>
    <w:rsid w:val="00112410"/>
    <w:rsid w:val="00115198"/>
    <w:rsid w:val="00115747"/>
    <w:rsid w:val="00115C87"/>
    <w:rsid w:val="00116399"/>
    <w:rsid w:val="001171F4"/>
    <w:rsid w:val="0011742D"/>
    <w:rsid w:val="00121911"/>
    <w:rsid w:val="00121944"/>
    <w:rsid w:val="00122E90"/>
    <w:rsid w:val="00124231"/>
    <w:rsid w:val="0012510C"/>
    <w:rsid w:val="00125A9D"/>
    <w:rsid w:val="00126F27"/>
    <w:rsid w:val="00130C67"/>
    <w:rsid w:val="00135403"/>
    <w:rsid w:val="00135CDE"/>
    <w:rsid w:val="00136441"/>
    <w:rsid w:val="001365CB"/>
    <w:rsid w:val="00137DD7"/>
    <w:rsid w:val="00140708"/>
    <w:rsid w:val="00140CEF"/>
    <w:rsid w:val="0014167D"/>
    <w:rsid w:val="001421FA"/>
    <w:rsid w:val="0014247F"/>
    <w:rsid w:val="00146BAD"/>
    <w:rsid w:val="00146D67"/>
    <w:rsid w:val="00147B1D"/>
    <w:rsid w:val="00150EB5"/>
    <w:rsid w:val="00151A20"/>
    <w:rsid w:val="0015207F"/>
    <w:rsid w:val="0015246A"/>
    <w:rsid w:val="00152515"/>
    <w:rsid w:val="00154F89"/>
    <w:rsid w:val="00156016"/>
    <w:rsid w:val="00156210"/>
    <w:rsid w:val="001600D1"/>
    <w:rsid w:val="001609D7"/>
    <w:rsid w:val="00161916"/>
    <w:rsid w:val="0016248F"/>
    <w:rsid w:val="001673BC"/>
    <w:rsid w:val="0017083D"/>
    <w:rsid w:val="001711D6"/>
    <w:rsid w:val="00171657"/>
    <w:rsid w:val="00172E17"/>
    <w:rsid w:val="00174780"/>
    <w:rsid w:val="00174E15"/>
    <w:rsid w:val="001804CD"/>
    <w:rsid w:val="001808CD"/>
    <w:rsid w:val="0018123F"/>
    <w:rsid w:val="00182B7D"/>
    <w:rsid w:val="00184145"/>
    <w:rsid w:val="0018491A"/>
    <w:rsid w:val="00194156"/>
    <w:rsid w:val="00197668"/>
    <w:rsid w:val="00197B3B"/>
    <w:rsid w:val="001A0DC6"/>
    <w:rsid w:val="001A32D0"/>
    <w:rsid w:val="001A52BD"/>
    <w:rsid w:val="001A6C75"/>
    <w:rsid w:val="001B03DE"/>
    <w:rsid w:val="001B1EE4"/>
    <w:rsid w:val="001B22C4"/>
    <w:rsid w:val="001B2F10"/>
    <w:rsid w:val="001B3090"/>
    <w:rsid w:val="001B3A45"/>
    <w:rsid w:val="001B3DE9"/>
    <w:rsid w:val="001B40EC"/>
    <w:rsid w:val="001B7AF1"/>
    <w:rsid w:val="001C1EAC"/>
    <w:rsid w:val="001C7106"/>
    <w:rsid w:val="001C7390"/>
    <w:rsid w:val="001C7625"/>
    <w:rsid w:val="001D01E8"/>
    <w:rsid w:val="001D2AF2"/>
    <w:rsid w:val="001D543F"/>
    <w:rsid w:val="001D61AD"/>
    <w:rsid w:val="001D75FE"/>
    <w:rsid w:val="001E024E"/>
    <w:rsid w:val="001E292F"/>
    <w:rsid w:val="001E2937"/>
    <w:rsid w:val="001E3A22"/>
    <w:rsid w:val="001E4415"/>
    <w:rsid w:val="001E4B30"/>
    <w:rsid w:val="001F0FE6"/>
    <w:rsid w:val="001F128D"/>
    <w:rsid w:val="001F1357"/>
    <w:rsid w:val="001F4AFE"/>
    <w:rsid w:val="001F773B"/>
    <w:rsid w:val="002008B5"/>
    <w:rsid w:val="00201838"/>
    <w:rsid w:val="00202045"/>
    <w:rsid w:val="002021CC"/>
    <w:rsid w:val="0021087D"/>
    <w:rsid w:val="00213018"/>
    <w:rsid w:val="002133BB"/>
    <w:rsid w:val="002134D3"/>
    <w:rsid w:val="00213B4F"/>
    <w:rsid w:val="0021788D"/>
    <w:rsid w:val="00217EE9"/>
    <w:rsid w:val="002200F2"/>
    <w:rsid w:val="00220AE5"/>
    <w:rsid w:val="002226AD"/>
    <w:rsid w:val="002235FF"/>
    <w:rsid w:val="0022487F"/>
    <w:rsid w:val="00225144"/>
    <w:rsid w:val="0022579E"/>
    <w:rsid w:val="00225CC9"/>
    <w:rsid w:val="00226252"/>
    <w:rsid w:val="002267A8"/>
    <w:rsid w:val="00227445"/>
    <w:rsid w:val="00230927"/>
    <w:rsid w:val="00230CFE"/>
    <w:rsid w:val="00231796"/>
    <w:rsid w:val="0023199B"/>
    <w:rsid w:val="00232551"/>
    <w:rsid w:val="002341AD"/>
    <w:rsid w:val="0023432F"/>
    <w:rsid w:val="00234E63"/>
    <w:rsid w:val="002350D4"/>
    <w:rsid w:val="002354AB"/>
    <w:rsid w:val="0023694C"/>
    <w:rsid w:val="002426DB"/>
    <w:rsid w:val="00244963"/>
    <w:rsid w:val="00247BB9"/>
    <w:rsid w:val="00250A08"/>
    <w:rsid w:val="00253098"/>
    <w:rsid w:val="002543F6"/>
    <w:rsid w:val="00255797"/>
    <w:rsid w:val="00260B22"/>
    <w:rsid w:val="0026196F"/>
    <w:rsid w:val="002626AF"/>
    <w:rsid w:val="002632A6"/>
    <w:rsid w:val="00263702"/>
    <w:rsid w:val="00263EE1"/>
    <w:rsid w:val="00263F9F"/>
    <w:rsid w:val="00264718"/>
    <w:rsid w:val="00265BC9"/>
    <w:rsid w:val="0026612A"/>
    <w:rsid w:val="002678F2"/>
    <w:rsid w:val="0027091C"/>
    <w:rsid w:val="00271146"/>
    <w:rsid w:val="00272743"/>
    <w:rsid w:val="00273A37"/>
    <w:rsid w:val="00275665"/>
    <w:rsid w:val="00275A86"/>
    <w:rsid w:val="00276D7F"/>
    <w:rsid w:val="00277819"/>
    <w:rsid w:val="00277960"/>
    <w:rsid w:val="0028174C"/>
    <w:rsid w:val="002860BE"/>
    <w:rsid w:val="00287BCA"/>
    <w:rsid w:val="002909C5"/>
    <w:rsid w:val="00290B75"/>
    <w:rsid w:val="002948A2"/>
    <w:rsid w:val="002972EC"/>
    <w:rsid w:val="002A0306"/>
    <w:rsid w:val="002A3F4F"/>
    <w:rsid w:val="002A5E92"/>
    <w:rsid w:val="002B1A29"/>
    <w:rsid w:val="002B1FDC"/>
    <w:rsid w:val="002B24CE"/>
    <w:rsid w:val="002B34C3"/>
    <w:rsid w:val="002B570E"/>
    <w:rsid w:val="002B6B31"/>
    <w:rsid w:val="002B7464"/>
    <w:rsid w:val="002C0068"/>
    <w:rsid w:val="002C2220"/>
    <w:rsid w:val="002C225F"/>
    <w:rsid w:val="002C32AA"/>
    <w:rsid w:val="002C51FA"/>
    <w:rsid w:val="002C68CA"/>
    <w:rsid w:val="002C6FEA"/>
    <w:rsid w:val="002D24F9"/>
    <w:rsid w:val="002D3DB1"/>
    <w:rsid w:val="002D405B"/>
    <w:rsid w:val="002D67B6"/>
    <w:rsid w:val="002E105F"/>
    <w:rsid w:val="002E34EE"/>
    <w:rsid w:val="002E36ED"/>
    <w:rsid w:val="002E666C"/>
    <w:rsid w:val="002F03E6"/>
    <w:rsid w:val="002F2898"/>
    <w:rsid w:val="002F3E21"/>
    <w:rsid w:val="002F4478"/>
    <w:rsid w:val="00300E9C"/>
    <w:rsid w:val="00301D69"/>
    <w:rsid w:val="003025CC"/>
    <w:rsid w:val="003035A8"/>
    <w:rsid w:val="003119F8"/>
    <w:rsid w:val="0031273A"/>
    <w:rsid w:val="0031315F"/>
    <w:rsid w:val="003204EC"/>
    <w:rsid w:val="0032106F"/>
    <w:rsid w:val="00323DE4"/>
    <w:rsid w:val="00324257"/>
    <w:rsid w:val="00324507"/>
    <w:rsid w:val="0032453A"/>
    <w:rsid w:val="003247CA"/>
    <w:rsid w:val="00324E1E"/>
    <w:rsid w:val="00327BBB"/>
    <w:rsid w:val="00327D9E"/>
    <w:rsid w:val="00330CA7"/>
    <w:rsid w:val="00332484"/>
    <w:rsid w:val="00332838"/>
    <w:rsid w:val="003348A6"/>
    <w:rsid w:val="0033642B"/>
    <w:rsid w:val="00336C3A"/>
    <w:rsid w:val="003371F0"/>
    <w:rsid w:val="003425C6"/>
    <w:rsid w:val="00344E2E"/>
    <w:rsid w:val="00345B11"/>
    <w:rsid w:val="003465B7"/>
    <w:rsid w:val="003469BC"/>
    <w:rsid w:val="00347D46"/>
    <w:rsid w:val="00351575"/>
    <w:rsid w:val="0035165F"/>
    <w:rsid w:val="003541BD"/>
    <w:rsid w:val="00360508"/>
    <w:rsid w:val="00361218"/>
    <w:rsid w:val="0036372A"/>
    <w:rsid w:val="003645C3"/>
    <w:rsid w:val="00365A55"/>
    <w:rsid w:val="00366EAE"/>
    <w:rsid w:val="003710CA"/>
    <w:rsid w:val="003740FD"/>
    <w:rsid w:val="00374672"/>
    <w:rsid w:val="0037604B"/>
    <w:rsid w:val="00380370"/>
    <w:rsid w:val="003819CC"/>
    <w:rsid w:val="00381F55"/>
    <w:rsid w:val="003821CF"/>
    <w:rsid w:val="003823B3"/>
    <w:rsid w:val="003840ED"/>
    <w:rsid w:val="00384902"/>
    <w:rsid w:val="00387CAE"/>
    <w:rsid w:val="0039053F"/>
    <w:rsid w:val="003A19B4"/>
    <w:rsid w:val="003A4411"/>
    <w:rsid w:val="003A44E5"/>
    <w:rsid w:val="003A4BCA"/>
    <w:rsid w:val="003B0096"/>
    <w:rsid w:val="003B18CD"/>
    <w:rsid w:val="003B51C5"/>
    <w:rsid w:val="003B5CC9"/>
    <w:rsid w:val="003B7035"/>
    <w:rsid w:val="003C7010"/>
    <w:rsid w:val="003C7499"/>
    <w:rsid w:val="003C7836"/>
    <w:rsid w:val="003D0607"/>
    <w:rsid w:val="003D30BC"/>
    <w:rsid w:val="003D33DB"/>
    <w:rsid w:val="003D628B"/>
    <w:rsid w:val="003E0733"/>
    <w:rsid w:val="003E079D"/>
    <w:rsid w:val="003E2205"/>
    <w:rsid w:val="003E248B"/>
    <w:rsid w:val="003E45A8"/>
    <w:rsid w:val="003E6E13"/>
    <w:rsid w:val="003E73D4"/>
    <w:rsid w:val="003F0802"/>
    <w:rsid w:val="003F2863"/>
    <w:rsid w:val="003F5260"/>
    <w:rsid w:val="003F66F4"/>
    <w:rsid w:val="003F70A6"/>
    <w:rsid w:val="003F7DFA"/>
    <w:rsid w:val="0040028B"/>
    <w:rsid w:val="00400673"/>
    <w:rsid w:val="00400718"/>
    <w:rsid w:val="004058F6"/>
    <w:rsid w:val="00407901"/>
    <w:rsid w:val="00412442"/>
    <w:rsid w:val="0041356E"/>
    <w:rsid w:val="00414821"/>
    <w:rsid w:val="0041758E"/>
    <w:rsid w:val="00417AFD"/>
    <w:rsid w:val="00421496"/>
    <w:rsid w:val="00422F67"/>
    <w:rsid w:val="00427626"/>
    <w:rsid w:val="00430B97"/>
    <w:rsid w:val="00430FB9"/>
    <w:rsid w:val="00433C1B"/>
    <w:rsid w:val="0043441C"/>
    <w:rsid w:val="004357E7"/>
    <w:rsid w:val="00436757"/>
    <w:rsid w:val="00437889"/>
    <w:rsid w:val="00443156"/>
    <w:rsid w:val="00443697"/>
    <w:rsid w:val="00444DE7"/>
    <w:rsid w:val="004452CD"/>
    <w:rsid w:val="00445B42"/>
    <w:rsid w:val="004470EA"/>
    <w:rsid w:val="00447C96"/>
    <w:rsid w:val="00452053"/>
    <w:rsid w:val="00455712"/>
    <w:rsid w:val="004576B7"/>
    <w:rsid w:val="0046046A"/>
    <w:rsid w:val="00460F1F"/>
    <w:rsid w:val="004612A5"/>
    <w:rsid w:val="004620B0"/>
    <w:rsid w:val="0046439D"/>
    <w:rsid w:val="00464ABD"/>
    <w:rsid w:val="00467EB1"/>
    <w:rsid w:val="004714A4"/>
    <w:rsid w:val="00472CCE"/>
    <w:rsid w:val="00484853"/>
    <w:rsid w:val="00485F95"/>
    <w:rsid w:val="00486DBC"/>
    <w:rsid w:val="0049288D"/>
    <w:rsid w:val="0049402C"/>
    <w:rsid w:val="0049456C"/>
    <w:rsid w:val="0049491F"/>
    <w:rsid w:val="00494D0F"/>
    <w:rsid w:val="004959B9"/>
    <w:rsid w:val="004A2164"/>
    <w:rsid w:val="004A3A2A"/>
    <w:rsid w:val="004A3F3D"/>
    <w:rsid w:val="004A5D92"/>
    <w:rsid w:val="004A7616"/>
    <w:rsid w:val="004B0151"/>
    <w:rsid w:val="004B04CD"/>
    <w:rsid w:val="004B06CB"/>
    <w:rsid w:val="004B109A"/>
    <w:rsid w:val="004B3B30"/>
    <w:rsid w:val="004B5453"/>
    <w:rsid w:val="004B6B8C"/>
    <w:rsid w:val="004C03ED"/>
    <w:rsid w:val="004C2158"/>
    <w:rsid w:val="004C27B3"/>
    <w:rsid w:val="004C29B6"/>
    <w:rsid w:val="004D04BB"/>
    <w:rsid w:val="004D1EFF"/>
    <w:rsid w:val="004D24C4"/>
    <w:rsid w:val="004D2C19"/>
    <w:rsid w:val="004D2D82"/>
    <w:rsid w:val="004D301E"/>
    <w:rsid w:val="004D4F44"/>
    <w:rsid w:val="004D5025"/>
    <w:rsid w:val="004D5054"/>
    <w:rsid w:val="004D5C98"/>
    <w:rsid w:val="004D6179"/>
    <w:rsid w:val="004E394E"/>
    <w:rsid w:val="004E589A"/>
    <w:rsid w:val="004E60C8"/>
    <w:rsid w:val="004F047C"/>
    <w:rsid w:val="004F0789"/>
    <w:rsid w:val="004F0F28"/>
    <w:rsid w:val="004F1B03"/>
    <w:rsid w:val="004F2569"/>
    <w:rsid w:val="004F3E6B"/>
    <w:rsid w:val="004F5D34"/>
    <w:rsid w:val="004F5E13"/>
    <w:rsid w:val="004F77B0"/>
    <w:rsid w:val="005015FF"/>
    <w:rsid w:val="00503BE1"/>
    <w:rsid w:val="00505580"/>
    <w:rsid w:val="00505B7B"/>
    <w:rsid w:val="0051027F"/>
    <w:rsid w:val="005106EF"/>
    <w:rsid w:val="00510D55"/>
    <w:rsid w:val="00513A66"/>
    <w:rsid w:val="00514C64"/>
    <w:rsid w:val="0051514C"/>
    <w:rsid w:val="00515C62"/>
    <w:rsid w:val="00516151"/>
    <w:rsid w:val="005171D7"/>
    <w:rsid w:val="00520CAC"/>
    <w:rsid w:val="00524619"/>
    <w:rsid w:val="005251B7"/>
    <w:rsid w:val="00534D8E"/>
    <w:rsid w:val="0054028C"/>
    <w:rsid w:val="005418C3"/>
    <w:rsid w:val="00541ABA"/>
    <w:rsid w:val="00541AE4"/>
    <w:rsid w:val="005438A3"/>
    <w:rsid w:val="00554102"/>
    <w:rsid w:val="00555D53"/>
    <w:rsid w:val="005561C8"/>
    <w:rsid w:val="00560B68"/>
    <w:rsid w:val="0056168E"/>
    <w:rsid w:val="005619D4"/>
    <w:rsid w:val="00563996"/>
    <w:rsid w:val="005645F9"/>
    <w:rsid w:val="00564AA6"/>
    <w:rsid w:val="00565076"/>
    <w:rsid w:val="00565603"/>
    <w:rsid w:val="00566602"/>
    <w:rsid w:val="00566AE3"/>
    <w:rsid w:val="005677D1"/>
    <w:rsid w:val="00567A12"/>
    <w:rsid w:val="00567EE1"/>
    <w:rsid w:val="00571D7A"/>
    <w:rsid w:val="00571D80"/>
    <w:rsid w:val="00573F2B"/>
    <w:rsid w:val="005761BE"/>
    <w:rsid w:val="005764ED"/>
    <w:rsid w:val="00576BC6"/>
    <w:rsid w:val="00577DC0"/>
    <w:rsid w:val="00581928"/>
    <w:rsid w:val="00582A87"/>
    <w:rsid w:val="005850B4"/>
    <w:rsid w:val="00586962"/>
    <w:rsid w:val="005908FD"/>
    <w:rsid w:val="00590BE2"/>
    <w:rsid w:val="00594198"/>
    <w:rsid w:val="00595016"/>
    <w:rsid w:val="00595D36"/>
    <w:rsid w:val="00595E8B"/>
    <w:rsid w:val="005A18B5"/>
    <w:rsid w:val="005A3AD9"/>
    <w:rsid w:val="005A491C"/>
    <w:rsid w:val="005A507A"/>
    <w:rsid w:val="005B2E45"/>
    <w:rsid w:val="005C0166"/>
    <w:rsid w:val="005C4BCD"/>
    <w:rsid w:val="005C66F2"/>
    <w:rsid w:val="005C6DAE"/>
    <w:rsid w:val="005C76DA"/>
    <w:rsid w:val="005D2D0E"/>
    <w:rsid w:val="005D4B47"/>
    <w:rsid w:val="005D723A"/>
    <w:rsid w:val="005D7DE0"/>
    <w:rsid w:val="005E0C8D"/>
    <w:rsid w:val="005E0EBB"/>
    <w:rsid w:val="005E24FC"/>
    <w:rsid w:val="005E27FF"/>
    <w:rsid w:val="005E4465"/>
    <w:rsid w:val="005E5D83"/>
    <w:rsid w:val="005E635F"/>
    <w:rsid w:val="005E7CC4"/>
    <w:rsid w:val="005F0F28"/>
    <w:rsid w:val="005F1565"/>
    <w:rsid w:val="005F1748"/>
    <w:rsid w:val="005F44DE"/>
    <w:rsid w:val="005F4E79"/>
    <w:rsid w:val="005F7336"/>
    <w:rsid w:val="005F73BB"/>
    <w:rsid w:val="00600240"/>
    <w:rsid w:val="006024F0"/>
    <w:rsid w:val="00602A78"/>
    <w:rsid w:val="00604399"/>
    <w:rsid w:val="00605FD7"/>
    <w:rsid w:val="00606246"/>
    <w:rsid w:val="00607A0F"/>
    <w:rsid w:val="0061206E"/>
    <w:rsid w:val="00612FD2"/>
    <w:rsid w:val="00613A6B"/>
    <w:rsid w:val="006143A3"/>
    <w:rsid w:val="00617D25"/>
    <w:rsid w:val="00621CB7"/>
    <w:rsid w:val="00622FB9"/>
    <w:rsid w:val="00626A4E"/>
    <w:rsid w:val="00627954"/>
    <w:rsid w:val="00635E49"/>
    <w:rsid w:val="00641124"/>
    <w:rsid w:val="00642E8B"/>
    <w:rsid w:val="00646F20"/>
    <w:rsid w:val="00651124"/>
    <w:rsid w:val="00651AEB"/>
    <w:rsid w:val="00656E60"/>
    <w:rsid w:val="00657576"/>
    <w:rsid w:val="00657587"/>
    <w:rsid w:val="006606E1"/>
    <w:rsid w:val="00661AD1"/>
    <w:rsid w:val="0066474F"/>
    <w:rsid w:val="006656B8"/>
    <w:rsid w:val="00666A52"/>
    <w:rsid w:val="00666DEC"/>
    <w:rsid w:val="0067261F"/>
    <w:rsid w:val="006732A3"/>
    <w:rsid w:val="00680105"/>
    <w:rsid w:val="00680B4A"/>
    <w:rsid w:val="00681854"/>
    <w:rsid w:val="006825C9"/>
    <w:rsid w:val="00684CD4"/>
    <w:rsid w:val="00686D5B"/>
    <w:rsid w:val="00687E0E"/>
    <w:rsid w:val="006908A3"/>
    <w:rsid w:val="00690F83"/>
    <w:rsid w:val="00696263"/>
    <w:rsid w:val="006A04E7"/>
    <w:rsid w:val="006A0D2F"/>
    <w:rsid w:val="006A2182"/>
    <w:rsid w:val="006A32DE"/>
    <w:rsid w:val="006A3F2F"/>
    <w:rsid w:val="006A5477"/>
    <w:rsid w:val="006A5E20"/>
    <w:rsid w:val="006A6BA9"/>
    <w:rsid w:val="006A79A1"/>
    <w:rsid w:val="006B150D"/>
    <w:rsid w:val="006B26CB"/>
    <w:rsid w:val="006B2A82"/>
    <w:rsid w:val="006C2ADA"/>
    <w:rsid w:val="006C3C8D"/>
    <w:rsid w:val="006D1138"/>
    <w:rsid w:val="006D245E"/>
    <w:rsid w:val="006D255C"/>
    <w:rsid w:val="006D296C"/>
    <w:rsid w:val="006D358B"/>
    <w:rsid w:val="006D53DE"/>
    <w:rsid w:val="006D60E3"/>
    <w:rsid w:val="006E0F91"/>
    <w:rsid w:val="006E2153"/>
    <w:rsid w:val="006E2E83"/>
    <w:rsid w:val="006E3248"/>
    <w:rsid w:val="006E3AEB"/>
    <w:rsid w:val="006E4003"/>
    <w:rsid w:val="006E4098"/>
    <w:rsid w:val="006E44E5"/>
    <w:rsid w:val="006E48BA"/>
    <w:rsid w:val="006E4B43"/>
    <w:rsid w:val="006E54B5"/>
    <w:rsid w:val="006E56C8"/>
    <w:rsid w:val="006F23F7"/>
    <w:rsid w:val="006F56C1"/>
    <w:rsid w:val="006F58FD"/>
    <w:rsid w:val="006F5B76"/>
    <w:rsid w:val="0070510B"/>
    <w:rsid w:val="00707E84"/>
    <w:rsid w:val="007115B8"/>
    <w:rsid w:val="00712ED8"/>
    <w:rsid w:val="00716F74"/>
    <w:rsid w:val="00721238"/>
    <w:rsid w:val="0072245F"/>
    <w:rsid w:val="00722DA1"/>
    <w:rsid w:val="00722E27"/>
    <w:rsid w:val="00723369"/>
    <w:rsid w:val="00732FA5"/>
    <w:rsid w:val="007330C1"/>
    <w:rsid w:val="0073476A"/>
    <w:rsid w:val="00734D91"/>
    <w:rsid w:val="00736C5A"/>
    <w:rsid w:val="00737462"/>
    <w:rsid w:val="007455F0"/>
    <w:rsid w:val="007510C5"/>
    <w:rsid w:val="00752902"/>
    <w:rsid w:val="0075573B"/>
    <w:rsid w:val="00755B16"/>
    <w:rsid w:val="00756A1A"/>
    <w:rsid w:val="007702E9"/>
    <w:rsid w:val="007750DB"/>
    <w:rsid w:val="00775BF1"/>
    <w:rsid w:val="007773C4"/>
    <w:rsid w:val="00783A2C"/>
    <w:rsid w:val="00784982"/>
    <w:rsid w:val="0078643E"/>
    <w:rsid w:val="007877B2"/>
    <w:rsid w:val="00787828"/>
    <w:rsid w:val="0079036A"/>
    <w:rsid w:val="00790416"/>
    <w:rsid w:val="007938E2"/>
    <w:rsid w:val="00793D8F"/>
    <w:rsid w:val="00794CB7"/>
    <w:rsid w:val="0079588D"/>
    <w:rsid w:val="00795938"/>
    <w:rsid w:val="007960F1"/>
    <w:rsid w:val="007A035A"/>
    <w:rsid w:val="007A0365"/>
    <w:rsid w:val="007A1042"/>
    <w:rsid w:val="007A2C49"/>
    <w:rsid w:val="007A5629"/>
    <w:rsid w:val="007A5C1A"/>
    <w:rsid w:val="007A7011"/>
    <w:rsid w:val="007A73DF"/>
    <w:rsid w:val="007B7366"/>
    <w:rsid w:val="007C199E"/>
    <w:rsid w:val="007C1BFC"/>
    <w:rsid w:val="007C3358"/>
    <w:rsid w:val="007C625F"/>
    <w:rsid w:val="007C63FC"/>
    <w:rsid w:val="007C6EB9"/>
    <w:rsid w:val="007D28F6"/>
    <w:rsid w:val="007D2BB0"/>
    <w:rsid w:val="007D5A61"/>
    <w:rsid w:val="007D68C1"/>
    <w:rsid w:val="007E264A"/>
    <w:rsid w:val="007E4ECD"/>
    <w:rsid w:val="007E562C"/>
    <w:rsid w:val="007E56BA"/>
    <w:rsid w:val="007E58B8"/>
    <w:rsid w:val="007F0F55"/>
    <w:rsid w:val="007F1AE4"/>
    <w:rsid w:val="007F2B67"/>
    <w:rsid w:val="0080086C"/>
    <w:rsid w:val="00801451"/>
    <w:rsid w:val="00803052"/>
    <w:rsid w:val="0080374C"/>
    <w:rsid w:val="00804564"/>
    <w:rsid w:val="00806289"/>
    <w:rsid w:val="008066D2"/>
    <w:rsid w:val="00813143"/>
    <w:rsid w:val="0081647C"/>
    <w:rsid w:val="00820594"/>
    <w:rsid w:val="008218E8"/>
    <w:rsid w:val="00821E17"/>
    <w:rsid w:val="008222D6"/>
    <w:rsid w:val="008231D2"/>
    <w:rsid w:val="0082388A"/>
    <w:rsid w:val="008246A9"/>
    <w:rsid w:val="00825B85"/>
    <w:rsid w:val="00830013"/>
    <w:rsid w:val="00831A52"/>
    <w:rsid w:val="00832508"/>
    <w:rsid w:val="00833A79"/>
    <w:rsid w:val="00834602"/>
    <w:rsid w:val="00834940"/>
    <w:rsid w:val="0083601D"/>
    <w:rsid w:val="008376B9"/>
    <w:rsid w:val="00841F1C"/>
    <w:rsid w:val="00844075"/>
    <w:rsid w:val="00844134"/>
    <w:rsid w:val="00846A69"/>
    <w:rsid w:val="008473CF"/>
    <w:rsid w:val="008509A2"/>
    <w:rsid w:val="00852BFF"/>
    <w:rsid w:val="008647A2"/>
    <w:rsid w:val="008654F3"/>
    <w:rsid w:val="0086732D"/>
    <w:rsid w:val="00867426"/>
    <w:rsid w:val="008674D8"/>
    <w:rsid w:val="008718F9"/>
    <w:rsid w:val="008724DF"/>
    <w:rsid w:val="00875F5C"/>
    <w:rsid w:val="00876E9E"/>
    <w:rsid w:val="00877E11"/>
    <w:rsid w:val="00885498"/>
    <w:rsid w:val="0089159D"/>
    <w:rsid w:val="008924CF"/>
    <w:rsid w:val="00893F2F"/>
    <w:rsid w:val="00895C7D"/>
    <w:rsid w:val="00896148"/>
    <w:rsid w:val="008A0FD5"/>
    <w:rsid w:val="008A1118"/>
    <w:rsid w:val="008A27BE"/>
    <w:rsid w:val="008A5666"/>
    <w:rsid w:val="008A650B"/>
    <w:rsid w:val="008A67A2"/>
    <w:rsid w:val="008A7E7D"/>
    <w:rsid w:val="008B244D"/>
    <w:rsid w:val="008B3AEB"/>
    <w:rsid w:val="008B744C"/>
    <w:rsid w:val="008B7CB7"/>
    <w:rsid w:val="008D0E84"/>
    <w:rsid w:val="008D11EC"/>
    <w:rsid w:val="008D1801"/>
    <w:rsid w:val="008D1EE4"/>
    <w:rsid w:val="008D541A"/>
    <w:rsid w:val="008D756D"/>
    <w:rsid w:val="008D775C"/>
    <w:rsid w:val="008E38F3"/>
    <w:rsid w:val="008E3DC9"/>
    <w:rsid w:val="008E4501"/>
    <w:rsid w:val="008E4BBC"/>
    <w:rsid w:val="008E532F"/>
    <w:rsid w:val="008F27CA"/>
    <w:rsid w:val="008F2BF6"/>
    <w:rsid w:val="008F5820"/>
    <w:rsid w:val="008F5A5D"/>
    <w:rsid w:val="00901227"/>
    <w:rsid w:val="00903CB9"/>
    <w:rsid w:val="00904D95"/>
    <w:rsid w:val="00907743"/>
    <w:rsid w:val="009142E5"/>
    <w:rsid w:val="00915D63"/>
    <w:rsid w:val="009160D8"/>
    <w:rsid w:val="00917235"/>
    <w:rsid w:val="00920A1B"/>
    <w:rsid w:val="0092212B"/>
    <w:rsid w:val="00923F11"/>
    <w:rsid w:val="00927E04"/>
    <w:rsid w:val="0093123A"/>
    <w:rsid w:val="0093245F"/>
    <w:rsid w:val="00932606"/>
    <w:rsid w:val="0093390E"/>
    <w:rsid w:val="00933A8D"/>
    <w:rsid w:val="00935FD2"/>
    <w:rsid w:val="00937942"/>
    <w:rsid w:val="00941355"/>
    <w:rsid w:val="0094414C"/>
    <w:rsid w:val="00945615"/>
    <w:rsid w:val="00950606"/>
    <w:rsid w:val="00951CD2"/>
    <w:rsid w:val="00952AD3"/>
    <w:rsid w:val="009545A6"/>
    <w:rsid w:val="009557D9"/>
    <w:rsid w:val="0095724F"/>
    <w:rsid w:val="009677DC"/>
    <w:rsid w:val="00972A86"/>
    <w:rsid w:val="009733AC"/>
    <w:rsid w:val="00975BC7"/>
    <w:rsid w:val="0097784D"/>
    <w:rsid w:val="00980157"/>
    <w:rsid w:val="009810EE"/>
    <w:rsid w:val="00981191"/>
    <w:rsid w:val="00981D5D"/>
    <w:rsid w:val="00985319"/>
    <w:rsid w:val="00985681"/>
    <w:rsid w:val="00987A66"/>
    <w:rsid w:val="00987F4F"/>
    <w:rsid w:val="009910EE"/>
    <w:rsid w:val="00991300"/>
    <w:rsid w:val="00992C90"/>
    <w:rsid w:val="009A088F"/>
    <w:rsid w:val="009A5C8C"/>
    <w:rsid w:val="009A628A"/>
    <w:rsid w:val="009B2710"/>
    <w:rsid w:val="009B2A5F"/>
    <w:rsid w:val="009B45F1"/>
    <w:rsid w:val="009B578D"/>
    <w:rsid w:val="009B5CB2"/>
    <w:rsid w:val="009B71DE"/>
    <w:rsid w:val="009B7B3C"/>
    <w:rsid w:val="009C2B59"/>
    <w:rsid w:val="009C2D65"/>
    <w:rsid w:val="009C416C"/>
    <w:rsid w:val="009C4403"/>
    <w:rsid w:val="009C47A4"/>
    <w:rsid w:val="009C484F"/>
    <w:rsid w:val="009C5FC1"/>
    <w:rsid w:val="009C628C"/>
    <w:rsid w:val="009C682B"/>
    <w:rsid w:val="009C6B0D"/>
    <w:rsid w:val="009C7622"/>
    <w:rsid w:val="009D4047"/>
    <w:rsid w:val="009D434F"/>
    <w:rsid w:val="009D4B91"/>
    <w:rsid w:val="009E7ADB"/>
    <w:rsid w:val="009E7D82"/>
    <w:rsid w:val="009F0FEF"/>
    <w:rsid w:val="009F1EB9"/>
    <w:rsid w:val="009F3293"/>
    <w:rsid w:val="009F353E"/>
    <w:rsid w:val="009F5229"/>
    <w:rsid w:val="009F5C53"/>
    <w:rsid w:val="00A00D80"/>
    <w:rsid w:val="00A017DE"/>
    <w:rsid w:val="00A01CDA"/>
    <w:rsid w:val="00A028C5"/>
    <w:rsid w:val="00A02FEC"/>
    <w:rsid w:val="00A059CA"/>
    <w:rsid w:val="00A05D18"/>
    <w:rsid w:val="00A071F5"/>
    <w:rsid w:val="00A0753A"/>
    <w:rsid w:val="00A07D01"/>
    <w:rsid w:val="00A1153A"/>
    <w:rsid w:val="00A123BB"/>
    <w:rsid w:val="00A129CB"/>
    <w:rsid w:val="00A12F80"/>
    <w:rsid w:val="00A147CA"/>
    <w:rsid w:val="00A1657F"/>
    <w:rsid w:val="00A17F78"/>
    <w:rsid w:val="00A17FF3"/>
    <w:rsid w:val="00A20408"/>
    <w:rsid w:val="00A207D2"/>
    <w:rsid w:val="00A211C0"/>
    <w:rsid w:val="00A25506"/>
    <w:rsid w:val="00A264BC"/>
    <w:rsid w:val="00A269D6"/>
    <w:rsid w:val="00A2709B"/>
    <w:rsid w:val="00A274F9"/>
    <w:rsid w:val="00A279AB"/>
    <w:rsid w:val="00A27BBE"/>
    <w:rsid w:val="00A3442F"/>
    <w:rsid w:val="00A3490B"/>
    <w:rsid w:val="00A34DC9"/>
    <w:rsid w:val="00A351AF"/>
    <w:rsid w:val="00A355AD"/>
    <w:rsid w:val="00A40BA9"/>
    <w:rsid w:val="00A4355D"/>
    <w:rsid w:val="00A46325"/>
    <w:rsid w:val="00A478EA"/>
    <w:rsid w:val="00A502B5"/>
    <w:rsid w:val="00A51BA4"/>
    <w:rsid w:val="00A52BEA"/>
    <w:rsid w:val="00A52C30"/>
    <w:rsid w:val="00A5713F"/>
    <w:rsid w:val="00A601D4"/>
    <w:rsid w:val="00A60A02"/>
    <w:rsid w:val="00A63F94"/>
    <w:rsid w:val="00A6480C"/>
    <w:rsid w:val="00A704D8"/>
    <w:rsid w:val="00A715D7"/>
    <w:rsid w:val="00A71B3B"/>
    <w:rsid w:val="00A729A7"/>
    <w:rsid w:val="00A732DF"/>
    <w:rsid w:val="00A75451"/>
    <w:rsid w:val="00A7616C"/>
    <w:rsid w:val="00A76519"/>
    <w:rsid w:val="00A82E95"/>
    <w:rsid w:val="00A838D3"/>
    <w:rsid w:val="00A865E9"/>
    <w:rsid w:val="00A86792"/>
    <w:rsid w:val="00A86C4D"/>
    <w:rsid w:val="00A874E5"/>
    <w:rsid w:val="00A9007B"/>
    <w:rsid w:val="00A91B8F"/>
    <w:rsid w:val="00A93716"/>
    <w:rsid w:val="00A93B6B"/>
    <w:rsid w:val="00A94645"/>
    <w:rsid w:val="00A96794"/>
    <w:rsid w:val="00A96CA8"/>
    <w:rsid w:val="00AA2667"/>
    <w:rsid w:val="00AB0BDC"/>
    <w:rsid w:val="00AB2A79"/>
    <w:rsid w:val="00AB4C98"/>
    <w:rsid w:val="00AB7A3E"/>
    <w:rsid w:val="00AB7FF8"/>
    <w:rsid w:val="00AC1AA2"/>
    <w:rsid w:val="00AC3280"/>
    <w:rsid w:val="00AC5CDA"/>
    <w:rsid w:val="00AC6914"/>
    <w:rsid w:val="00AC69A9"/>
    <w:rsid w:val="00AC7B3D"/>
    <w:rsid w:val="00AD0FC8"/>
    <w:rsid w:val="00AD3B43"/>
    <w:rsid w:val="00AD4C3E"/>
    <w:rsid w:val="00AD5184"/>
    <w:rsid w:val="00AD652C"/>
    <w:rsid w:val="00AD7B93"/>
    <w:rsid w:val="00AE1DA3"/>
    <w:rsid w:val="00AE2268"/>
    <w:rsid w:val="00AE3459"/>
    <w:rsid w:val="00AE3846"/>
    <w:rsid w:val="00AE4D11"/>
    <w:rsid w:val="00AE55E7"/>
    <w:rsid w:val="00AE645F"/>
    <w:rsid w:val="00AE73E3"/>
    <w:rsid w:val="00AE7D3A"/>
    <w:rsid w:val="00AF1A4B"/>
    <w:rsid w:val="00AF23DC"/>
    <w:rsid w:val="00AF25AA"/>
    <w:rsid w:val="00AF2704"/>
    <w:rsid w:val="00AF2EAF"/>
    <w:rsid w:val="00AF335D"/>
    <w:rsid w:val="00AF38C3"/>
    <w:rsid w:val="00AF749A"/>
    <w:rsid w:val="00B011AF"/>
    <w:rsid w:val="00B01B95"/>
    <w:rsid w:val="00B023A5"/>
    <w:rsid w:val="00B0253F"/>
    <w:rsid w:val="00B02EB7"/>
    <w:rsid w:val="00B05151"/>
    <w:rsid w:val="00B0586F"/>
    <w:rsid w:val="00B06281"/>
    <w:rsid w:val="00B07FEA"/>
    <w:rsid w:val="00B10266"/>
    <w:rsid w:val="00B10780"/>
    <w:rsid w:val="00B1379D"/>
    <w:rsid w:val="00B15EDC"/>
    <w:rsid w:val="00B20ACA"/>
    <w:rsid w:val="00B20BE1"/>
    <w:rsid w:val="00B21108"/>
    <w:rsid w:val="00B21D8C"/>
    <w:rsid w:val="00B22AAF"/>
    <w:rsid w:val="00B25772"/>
    <w:rsid w:val="00B257E7"/>
    <w:rsid w:val="00B26CFF"/>
    <w:rsid w:val="00B3095A"/>
    <w:rsid w:val="00B316A5"/>
    <w:rsid w:val="00B31B59"/>
    <w:rsid w:val="00B326E1"/>
    <w:rsid w:val="00B35DC8"/>
    <w:rsid w:val="00B35F55"/>
    <w:rsid w:val="00B3761E"/>
    <w:rsid w:val="00B43D2B"/>
    <w:rsid w:val="00B44CD1"/>
    <w:rsid w:val="00B45EF5"/>
    <w:rsid w:val="00B50331"/>
    <w:rsid w:val="00B50DEA"/>
    <w:rsid w:val="00B53DD7"/>
    <w:rsid w:val="00B548AA"/>
    <w:rsid w:val="00B54EFE"/>
    <w:rsid w:val="00B5592D"/>
    <w:rsid w:val="00B62889"/>
    <w:rsid w:val="00B642CF"/>
    <w:rsid w:val="00B7381E"/>
    <w:rsid w:val="00B75689"/>
    <w:rsid w:val="00B757CC"/>
    <w:rsid w:val="00B766C7"/>
    <w:rsid w:val="00B80F45"/>
    <w:rsid w:val="00B81AA6"/>
    <w:rsid w:val="00B827C0"/>
    <w:rsid w:val="00B84872"/>
    <w:rsid w:val="00B85664"/>
    <w:rsid w:val="00B85B92"/>
    <w:rsid w:val="00B910CB"/>
    <w:rsid w:val="00B928D6"/>
    <w:rsid w:val="00B93967"/>
    <w:rsid w:val="00B93A52"/>
    <w:rsid w:val="00BA0CBB"/>
    <w:rsid w:val="00BA23C3"/>
    <w:rsid w:val="00BA424D"/>
    <w:rsid w:val="00BA7C87"/>
    <w:rsid w:val="00BA7CB1"/>
    <w:rsid w:val="00BB1895"/>
    <w:rsid w:val="00BB25F2"/>
    <w:rsid w:val="00BB269D"/>
    <w:rsid w:val="00BB5C2B"/>
    <w:rsid w:val="00BB7FD6"/>
    <w:rsid w:val="00BC2BB2"/>
    <w:rsid w:val="00BC33F2"/>
    <w:rsid w:val="00BC592D"/>
    <w:rsid w:val="00BC6CF8"/>
    <w:rsid w:val="00BC786E"/>
    <w:rsid w:val="00BD0D6F"/>
    <w:rsid w:val="00BD189D"/>
    <w:rsid w:val="00BD3187"/>
    <w:rsid w:val="00BD48A6"/>
    <w:rsid w:val="00BD70A9"/>
    <w:rsid w:val="00BE159C"/>
    <w:rsid w:val="00BE1EF9"/>
    <w:rsid w:val="00BE7B1D"/>
    <w:rsid w:val="00BF0358"/>
    <w:rsid w:val="00BF0DB6"/>
    <w:rsid w:val="00BF237F"/>
    <w:rsid w:val="00BF44E5"/>
    <w:rsid w:val="00BF6292"/>
    <w:rsid w:val="00BF6960"/>
    <w:rsid w:val="00C00193"/>
    <w:rsid w:val="00C003E2"/>
    <w:rsid w:val="00C0314B"/>
    <w:rsid w:val="00C04176"/>
    <w:rsid w:val="00C07C09"/>
    <w:rsid w:val="00C1063D"/>
    <w:rsid w:val="00C13146"/>
    <w:rsid w:val="00C152AD"/>
    <w:rsid w:val="00C15376"/>
    <w:rsid w:val="00C17028"/>
    <w:rsid w:val="00C22676"/>
    <w:rsid w:val="00C2321A"/>
    <w:rsid w:val="00C24322"/>
    <w:rsid w:val="00C24E9C"/>
    <w:rsid w:val="00C26632"/>
    <w:rsid w:val="00C30C73"/>
    <w:rsid w:val="00C313F8"/>
    <w:rsid w:val="00C32674"/>
    <w:rsid w:val="00C334F6"/>
    <w:rsid w:val="00C34416"/>
    <w:rsid w:val="00C34858"/>
    <w:rsid w:val="00C36F80"/>
    <w:rsid w:val="00C402AB"/>
    <w:rsid w:val="00C41DE2"/>
    <w:rsid w:val="00C459E2"/>
    <w:rsid w:val="00C4666C"/>
    <w:rsid w:val="00C468DB"/>
    <w:rsid w:val="00C47028"/>
    <w:rsid w:val="00C478B4"/>
    <w:rsid w:val="00C50889"/>
    <w:rsid w:val="00C51495"/>
    <w:rsid w:val="00C52084"/>
    <w:rsid w:val="00C52658"/>
    <w:rsid w:val="00C5464E"/>
    <w:rsid w:val="00C54A4F"/>
    <w:rsid w:val="00C54A70"/>
    <w:rsid w:val="00C55E87"/>
    <w:rsid w:val="00C57191"/>
    <w:rsid w:val="00C5781E"/>
    <w:rsid w:val="00C57953"/>
    <w:rsid w:val="00C57CBA"/>
    <w:rsid w:val="00C60209"/>
    <w:rsid w:val="00C63A2F"/>
    <w:rsid w:val="00C64DF0"/>
    <w:rsid w:val="00C6611F"/>
    <w:rsid w:val="00C72045"/>
    <w:rsid w:val="00C7220B"/>
    <w:rsid w:val="00C7385B"/>
    <w:rsid w:val="00C7407F"/>
    <w:rsid w:val="00C7523A"/>
    <w:rsid w:val="00C766D2"/>
    <w:rsid w:val="00C766FF"/>
    <w:rsid w:val="00C77745"/>
    <w:rsid w:val="00C803B1"/>
    <w:rsid w:val="00C82E93"/>
    <w:rsid w:val="00C8449D"/>
    <w:rsid w:val="00C911C8"/>
    <w:rsid w:val="00C938C8"/>
    <w:rsid w:val="00C94DD3"/>
    <w:rsid w:val="00C94FB8"/>
    <w:rsid w:val="00CA3F4D"/>
    <w:rsid w:val="00CA4EAE"/>
    <w:rsid w:val="00CA587C"/>
    <w:rsid w:val="00CA732B"/>
    <w:rsid w:val="00CB041B"/>
    <w:rsid w:val="00CB198F"/>
    <w:rsid w:val="00CC0F42"/>
    <w:rsid w:val="00CC2BCF"/>
    <w:rsid w:val="00CD122A"/>
    <w:rsid w:val="00CD6C9B"/>
    <w:rsid w:val="00CE1F6A"/>
    <w:rsid w:val="00CE35AD"/>
    <w:rsid w:val="00CE3E62"/>
    <w:rsid w:val="00CE5234"/>
    <w:rsid w:val="00CE6064"/>
    <w:rsid w:val="00CF2F16"/>
    <w:rsid w:val="00CF5F54"/>
    <w:rsid w:val="00CF689B"/>
    <w:rsid w:val="00D001DF"/>
    <w:rsid w:val="00D022F7"/>
    <w:rsid w:val="00D02C22"/>
    <w:rsid w:val="00D04277"/>
    <w:rsid w:val="00D0570F"/>
    <w:rsid w:val="00D0761D"/>
    <w:rsid w:val="00D1296C"/>
    <w:rsid w:val="00D12C1D"/>
    <w:rsid w:val="00D20611"/>
    <w:rsid w:val="00D21772"/>
    <w:rsid w:val="00D2277D"/>
    <w:rsid w:val="00D2424C"/>
    <w:rsid w:val="00D25C5D"/>
    <w:rsid w:val="00D25D34"/>
    <w:rsid w:val="00D266EB"/>
    <w:rsid w:val="00D40876"/>
    <w:rsid w:val="00D442E6"/>
    <w:rsid w:val="00D4768B"/>
    <w:rsid w:val="00D50572"/>
    <w:rsid w:val="00D51621"/>
    <w:rsid w:val="00D53956"/>
    <w:rsid w:val="00D547DF"/>
    <w:rsid w:val="00D5683E"/>
    <w:rsid w:val="00D57440"/>
    <w:rsid w:val="00D57500"/>
    <w:rsid w:val="00D57889"/>
    <w:rsid w:val="00D607BA"/>
    <w:rsid w:val="00D6100A"/>
    <w:rsid w:val="00D61381"/>
    <w:rsid w:val="00D63161"/>
    <w:rsid w:val="00D63468"/>
    <w:rsid w:val="00D6383B"/>
    <w:rsid w:val="00D63A37"/>
    <w:rsid w:val="00D64836"/>
    <w:rsid w:val="00D6493D"/>
    <w:rsid w:val="00D70D19"/>
    <w:rsid w:val="00D71D23"/>
    <w:rsid w:val="00D7613A"/>
    <w:rsid w:val="00D7642B"/>
    <w:rsid w:val="00D84A65"/>
    <w:rsid w:val="00D84C55"/>
    <w:rsid w:val="00D8588D"/>
    <w:rsid w:val="00D91366"/>
    <w:rsid w:val="00D91F3C"/>
    <w:rsid w:val="00D92693"/>
    <w:rsid w:val="00D93833"/>
    <w:rsid w:val="00D93935"/>
    <w:rsid w:val="00D93E88"/>
    <w:rsid w:val="00D956A4"/>
    <w:rsid w:val="00DA10AD"/>
    <w:rsid w:val="00DA47FA"/>
    <w:rsid w:val="00DA6D1A"/>
    <w:rsid w:val="00DA732F"/>
    <w:rsid w:val="00DA7AA0"/>
    <w:rsid w:val="00DB3FC3"/>
    <w:rsid w:val="00DB4FFC"/>
    <w:rsid w:val="00DC0233"/>
    <w:rsid w:val="00DC0F8A"/>
    <w:rsid w:val="00DC1919"/>
    <w:rsid w:val="00DC1F4D"/>
    <w:rsid w:val="00DC6706"/>
    <w:rsid w:val="00DC788A"/>
    <w:rsid w:val="00DD27B9"/>
    <w:rsid w:val="00DD3A32"/>
    <w:rsid w:val="00DD4422"/>
    <w:rsid w:val="00DD4F87"/>
    <w:rsid w:val="00DD6FD1"/>
    <w:rsid w:val="00DE00E3"/>
    <w:rsid w:val="00DE0682"/>
    <w:rsid w:val="00DE1CA4"/>
    <w:rsid w:val="00DE2B40"/>
    <w:rsid w:val="00DE3906"/>
    <w:rsid w:val="00DE419A"/>
    <w:rsid w:val="00DE69D6"/>
    <w:rsid w:val="00DE7942"/>
    <w:rsid w:val="00DF2AD3"/>
    <w:rsid w:val="00DF3DBC"/>
    <w:rsid w:val="00DF4285"/>
    <w:rsid w:val="00DF57F0"/>
    <w:rsid w:val="00DF5950"/>
    <w:rsid w:val="00DF65B6"/>
    <w:rsid w:val="00E00AC5"/>
    <w:rsid w:val="00E03C18"/>
    <w:rsid w:val="00E05F9E"/>
    <w:rsid w:val="00E07716"/>
    <w:rsid w:val="00E07952"/>
    <w:rsid w:val="00E15A08"/>
    <w:rsid w:val="00E2071D"/>
    <w:rsid w:val="00E208ED"/>
    <w:rsid w:val="00E22F67"/>
    <w:rsid w:val="00E23E93"/>
    <w:rsid w:val="00E241C3"/>
    <w:rsid w:val="00E257B5"/>
    <w:rsid w:val="00E317FA"/>
    <w:rsid w:val="00E32B8D"/>
    <w:rsid w:val="00E346B5"/>
    <w:rsid w:val="00E35F9F"/>
    <w:rsid w:val="00E36290"/>
    <w:rsid w:val="00E40B18"/>
    <w:rsid w:val="00E40FD6"/>
    <w:rsid w:val="00E414F7"/>
    <w:rsid w:val="00E43491"/>
    <w:rsid w:val="00E51C56"/>
    <w:rsid w:val="00E54B10"/>
    <w:rsid w:val="00E60257"/>
    <w:rsid w:val="00E63B94"/>
    <w:rsid w:val="00E65DA4"/>
    <w:rsid w:val="00E66797"/>
    <w:rsid w:val="00E67773"/>
    <w:rsid w:val="00E67C82"/>
    <w:rsid w:val="00E71491"/>
    <w:rsid w:val="00E715A8"/>
    <w:rsid w:val="00E72980"/>
    <w:rsid w:val="00E7372D"/>
    <w:rsid w:val="00E74A3E"/>
    <w:rsid w:val="00E77C6D"/>
    <w:rsid w:val="00E85B6C"/>
    <w:rsid w:val="00E86B1B"/>
    <w:rsid w:val="00E91A13"/>
    <w:rsid w:val="00E9359A"/>
    <w:rsid w:val="00E95AD0"/>
    <w:rsid w:val="00EA00F6"/>
    <w:rsid w:val="00EA061F"/>
    <w:rsid w:val="00EA205B"/>
    <w:rsid w:val="00EA234F"/>
    <w:rsid w:val="00EA41AF"/>
    <w:rsid w:val="00EA51D3"/>
    <w:rsid w:val="00EA69BB"/>
    <w:rsid w:val="00EB0AA6"/>
    <w:rsid w:val="00EB1E60"/>
    <w:rsid w:val="00EB22E2"/>
    <w:rsid w:val="00EB5488"/>
    <w:rsid w:val="00EB639C"/>
    <w:rsid w:val="00EB6D87"/>
    <w:rsid w:val="00EB76DF"/>
    <w:rsid w:val="00EC1605"/>
    <w:rsid w:val="00EC5BF9"/>
    <w:rsid w:val="00ED17C9"/>
    <w:rsid w:val="00ED2D6C"/>
    <w:rsid w:val="00ED3083"/>
    <w:rsid w:val="00ED4C35"/>
    <w:rsid w:val="00ED595B"/>
    <w:rsid w:val="00ED678F"/>
    <w:rsid w:val="00ED6F2A"/>
    <w:rsid w:val="00EE0C7E"/>
    <w:rsid w:val="00EE0DF3"/>
    <w:rsid w:val="00EE11A3"/>
    <w:rsid w:val="00EE2416"/>
    <w:rsid w:val="00EE31F1"/>
    <w:rsid w:val="00EE43F7"/>
    <w:rsid w:val="00EE59BD"/>
    <w:rsid w:val="00EE7939"/>
    <w:rsid w:val="00EF000E"/>
    <w:rsid w:val="00EF2841"/>
    <w:rsid w:val="00F008FA"/>
    <w:rsid w:val="00F020EC"/>
    <w:rsid w:val="00F04719"/>
    <w:rsid w:val="00F04C16"/>
    <w:rsid w:val="00F05D43"/>
    <w:rsid w:val="00F06768"/>
    <w:rsid w:val="00F06A5E"/>
    <w:rsid w:val="00F11E0B"/>
    <w:rsid w:val="00F13D50"/>
    <w:rsid w:val="00F144CD"/>
    <w:rsid w:val="00F144E2"/>
    <w:rsid w:val="00F1589C"/>
    <w:rsid w:val="00F17187"/>
    <w:rsid w:val="00F203F0"/>
    <w:rsid w:val="00F24274"/>
    <w:rsid w:val="00F31697"/>
    <w:rsid w:val="00F34437"/>
    <w:rsid w:val="00F3741C"/>
    <w:rsid w:val="00F4039E"/>
    <w:rsid w:val="00F4276E"/>
    <w:rsid w:val="00F449F8"/>
    <w:rsid w:val="00F44CF3"/>
    <w:rsid w:val="00F45F32"/>
    <w:rsid w:val="00F469EB"/>
    <w:rsid w:val="00F5073C"/>
    <w:rsid w:val="00F50810"/>
    <w:rsid w:val="00F531C1"/>
    <w:rsid w:val="00F53FE0"/>
    <w:rsid w:val="00F54CF0"/>
    <w:rsid w:val="00F56D7F"/>
    <w:rsid w:val="00F56F94"/>
    <w:rsid w:val="00F6168B"/>
    <w:rsid w:val="00F71A71"/>
    <w:rsid w:val="00F7524D"/>
    <w:rsid w:val="00F77702"/>
    <w:rsid w:val="00F806D2"/>
    <w:rsid w:val="00F81A6D"/>
    <w:rsid w:val="00F8715E"/>
    <w:rsid w:val="00F87186"/>
    <w:rsid w:val="00F905F0"/>
    <w:rsid w:val="00F93291"/>
    <w:rsid w:val="00F94527"/>
    <w:rsid w:val="00F9762C"/>
    <w:rsid w:val="00FA1832"/>
    <w:rsid w:val="00FA4C88"/>
    <w:rsid w:val="00FA513F"/>
    <w:rsid w:val="00FA6096"/>
    <w:rsid w:val="00FA6896"/>
    <w:rsid w:val="00FB0AC0"/>
    <w:rsid w:val="00FB42B2"/>
    <w:rsid w:val="00FB600A"/>
    <w:rsid w:val="00FB69B9"/>
    <w:rsid w:val="00FB7324"/>
    <w:rsid w:val="00FB73B7"/>
    <w:rsid w:val="00FC2FCE"/>
    <w:rsid w:val="00FC3529"/>
    <w:rsid w:val="00FC3BC5"/>
    <w:rsid w:val="00FC4E63"/>
    <w:rsid w:val="00FC588C"/>
    <w:rsid w:val="00FC7E2E"/>
    <w:rsid w:val="00FC7FD5"/>
    <w:rsid w:val="00FD1CB7"/>
    <w:rsid w:val="00FD23B7"/>
    <w:rsid w:val="00FD7ABC"/>
    <w:rsid w:val="00FD7AF6"/>
    <w:rsid w:val="00FE237D"/>
    <w:rsid w:val="00FE6E66"/>
    <w:rsid w:val="00FF1C0E"/>
    <w:rsid w:val="00FF7D92"/>
    <w:rsid w:val="00FF7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0532EA-8EF3-422D-AFED-78861B5A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43"/>
    <w:rPr>
      <w:rFonts w:eastAsia="Batang"/>
      <w:sz w:val="28"/>
      <w:szCs w:val="28"/>
      <w:vertAlign w:val="subscript"/>
      <w:lang w:eastAsia="ko-KR"/>
    </w:rPr>
  </w:style>
  <w:style w:type="paragraph" w:styleId="Balk1">
    <w:name w:val="heading 1"/>
    <w:basedOn w:val="Normal"/>
    <w:next w:val="Normal"/>
    <w:link w:val="Balk1Char"/>
    <w:uiPriority w:val="9"/>
    <w:qFormat/>
    <w:rsid w:val="00F020EC"/>
    <w:pPr>
      <w:keepNext/>
      <w:keepLines/>
      <w:spacing w:before="480" w:line="276" w:lineRule="auto"/>
      <w:outlineLvl w:val="0"/>
    </w:pPr>
    <w:rPr>
      <w:rFonts w:ascii="Cambria" w:eastAsia="Times New Roman" w:hAnsi="Cambria"/>
      <w:b/>
      <w:bCs/>
      <w:color w:val="365F91"/>
      <w:vertAlign w:val="baseline"/>
      <w:lang w:eastAsia="tr-TR"/>
    </w:rPr>
  </w:style>
  <w:style w:type="paragraph" w:styleId="Balk2">
    <w:name w:val="heading 2"/>
    <w:basedOn w:val="Normal"/>
    <w:next w:val="Normal"/>
    <w:qFormat/>
    <w:rsid w:val="00C459E2"/>
    <w:pPr>
      <w:keepNext/>
      <w:spacing w:before="240" w:after="60"/>
      <w:outlineLvl w:val="1"/>
    </w:pPr>
    <w:rPr>
      <w:rFonts w:ascii="Arial" w:hAnsi="Arial" w:cs="Arial"/>
      <w:b/>
      <w:bCs/>
      <w:i/>
      <w:iCs/>
    </w:rPr>
  </w:style>
  <w:style w:type="paragraph" w:styleId="Balk4">
    <w:name w:val="heading 4"/>
    <w:basedOn w:val="Normal"/>
    <w:next w:val="Normal"/>
    <w:qFormat/>
    <w:rsid w:val="00084AF2"/>
    <w:pPr>
      <w:keepNext/>
      <w:ind w:firstLine="426"/>
      <w:jc w:val="both"/>
      <w:outlineLvl w:val="3"/>
    </w:pPr>
    <w:rPr>
      <w:rFonts w:eastAsia="Times New Roman"/>
      <w:b/>
      <w:sz w:val="24"/>
      <w:szCs w:val="24"/>
      <w:vertAlign w:val="baselin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Normal (Web) Char Char Char,Char,Char Char Char Char Char Char"/>
    <w:basedOn w:val="Normal"/>
    <w:link w:val="NormalWebChar"/>
    <w:uiPriority w:val="99"/>
    <w:qFormat/>
    <w:rsid w:val="00F05D43"/>
    <w:pPr>
      <w:spacing w:before="100" w:beforeAutospacing="1" w:after="100" w:afterAutospacing="1"/>
    </w:pPr>
    <w:rPr>
      <w:rFonts w:eastAsia="Times New Roman"/>
      <w:sz w:val="24"/>
      <w:szCs w:val="24"/>
      <w:vertAlign w:val="baseline"/>
      <w:lang w:eastAsia="tr-TR"/>
    </w:rPr>
  </w:style>
  <w:style w:type="paragraph" w:customStyle="1" w:styleId="Metin">
    <w:name w:val="Metin"/>
    <w:basedOn w:val="Normal"/>
    <w:rsid w:val="00F05D43"/>
    <w:pPr>
      <w:spacing w:after="120"/>
      <w:jc w:val="both"/>
    </w:pPr>
    <w:rPr>
      <w:rFonts w:eastAsia="Times New Roman"/>
      <w:sz w:val="24"/>
      <w:szCs w:val="24"/>
      <w:vertAlign w:val="baseline"/>
      <w:lang w:eastAsia="en-US"/>
    </w:rPr>
  </w:style>
  <w:style w:type="character" w:styleId="AklamaBavurusu">
    <w:name w:val="annotation reference"/>
    <w:semiHidden/>
    <w:rsid w:val="00F05D43"/>
    <w:rPr>
      <w:sz w:val="16"/>
      <w:szCs w:val="16"/>
    </w:rPr>
  </w:style>
  <w:style w:type="paragraph" w:styleId="AklamaMetni">
    <w:name w:val="annotation text"/>
    <w:basedOn w:val="Normal"/>
    <w:link w:val="AklamaMetniChar"/>
    <w:semiHidden/>
    <w:rsid w:val="00F05D43"/>
    <w:rPr>
      <w:rFonts w:eastAsia="Times New Roman"/>
      <w:sz w:val="20"/>
      <w:szCs w:val="20"/>
      <w:vertAlign w:val="baseline"/>
      <w:lang w:eastAsia="tr-TR"/>
    </w:rPr>
  </w:style>
  <w:style w:type="paragraph" w:styleId="BalonMetni">
    <w:name w:val="Balloon Text"/>
    <w:basedOn w:val="Normal"/>
    <w:link w:val="BalonMetniChar"/>
    <w:semiHidden/>
    <w:rsid w:val="00F05D43"/>
    <w:rPr>
      <w:rFonts w:ascii="Tahoma" w:hAnsi="Tahoma" w:cs="Tahoma"/>
      <w:sz w:val="16"/>
      <w:szCs w:val="16"/>
    </w:rPr>
  </w:style>
  <w:style w:type="paragraph" w:customStyle="1" w:styleId="nor0">
    <w:name w:val="nor0"/>
    <w:basedOn w:val="Normal"/>
    <w:rsid w:val="00F05D43"/>
    <w:pPr>
      <w:spacing w:before="100" w:beforeAutospacing="1" w:after="100" w:afterAutospacing="1"/>
    </w:pPr>
    <w:rPr>
      <w:rFonts w:eastAsia="Times New Roman"/>
      <w:sz w:val="24"/>
      <w:szCs w:val="24"/>
      <w:vertAlign w:val="baseline"/>
      <w:lang w:eastAsia="tr-TR"/>
    </w:rPr>
  </w:style>
  <w:style w:type="paragraph" w:customStyle="1" w:styleId="nor">
    <w:name w:val="nor"/>
    <w:basedOn w:val="Normal"/>
    <w:rsid w:val="00F05D43"/>
    <w:pPr>
      <w:spacing w:before="100" w:beforeAutospacing="1" w:after="100" w:afterAutospacing="1"/>
    </w:pPr>
    <w:rPr>
      <w:rFonts w:eastAsia="Times New Roman"/>
      <w:sz w:val="24"/>
      <w:szCs w:val="24"/>
      <w:vertAlign w:val="baseline"/>
      <w:lang w:eastAsia="tr-TR"/>
    </w:rPr>
  </w:style>
  <w:style w:type="paragraph" w:customStyle="1" w:styleId="3-NormalYaz">
    <w:name w:val="3-Normal Yazı"/>
    <w:rsid w:val="000A70C7"/>
    <w:pPr>
      <w:tabs>
        <w:tab w:val="left" w:pos="566"/>
      </w:tabs>
      <w:jc w:val="both"/>
    </w:pPr>
    <w:rPr>
      <w:sz w:val="19"/>
      <w:lang w:eastAsia="en-US"/>
    </w:rPr>
  </w:style>
  <w:style w:type="paragraph" w:styleId="DzMetin">
    <w:name w:val="Plain Text"/>
    <w:basedOn w:val="Normal"/>
    <w:rsid w:val="00084AF2"/>
    <w:rPr>
      <w:rFonts w:ascii="Courier New" w:eastAsia="Times New Roman" w:hAnsi="Courier New"/>
      <w:sz w:val="20"/>
      <w:szCs w:val="20"/>
      <w:vertAlign w:val="baseline"/>
      <w:lang w:eastAsia="tr-TR"/>
    </w:rPr>
  </w:style>
  <w:style w:type="paragraph" w:styleId="GvdeMetniGirintisi2">
    <w:name w:val="Body Text Indent 2"/>
    <w:basedOn w:val="Normal"/>
    <w:rsid w:val="00084AF2"/>
    <w:pPr>
      <w:ind w:left="1440" w:hanging="360"/>
    </w:pPr>
    <w:rPr>
      <w:rFonts w:eastAsia="Times New Roman"/>
      <w:sz w:val="24"/>
      <w:szCs w:val="20"/>
      <w:vertAlign w:val="baseline"/>
      <w:lang w:val="en-GB" w:eastAsia="en-US"/>
    </w:rPr>
  </w:style>
  <w:style w:type="paragraph" w:styleId="GvdeMetni">
    <w:name w:val="Body Text"/>
    <w:basedOn w:val="Normal"/>
    <w:rsid w:val="00084AF2"/>
    <w:pPr>
      <w:spacing w:after="120"/>
    </w:pPr>
    <w:rPr>
      <w:rFonts w:eastAsia="Times New Roman"/>
      <w:sz w:val="24"/>
      <w:szCs w:val="24"/>
      <w:vertAlign w:val="baseline"/>
      <w:lang w:eastAsia="tr-TR"/>
    </w:rPr>
  </w:style>
  <w:style w:type="paragraph" w:styleId="DipnotMetni">
    <w:name w:val="footnote text"/>
    <w:basedOn w:val="Normal"/>
    <w:semiHidden/>
    <w:rsid w:val="00084AF2"/>
    <w:pPr>
      <w:widowControl w:val="0"/>
      <w:overflowPunct w:val="0"/>
      <w:autoSpaceDE w:val="0"/>
      <w:autoSpaceDN w:val="0"/>
      <w:adjustRightInd w:val="0"/>
      <w:textAlignment w:val="baseline"/>
    </w:pPr>
    <w:rPr>
      <w:rFonts w:eastAsia="Times New Roman"/>
      <w:sz w:val="20"/>
      <w:szCs w:val="20"/>
      <w:vertAlign w:val="baseline"/>
      <w:lang w:eastAsia="en-US"/>
    </w:rPr>
  </w:style>
  <w:style w:type="character" w:styleId="DipnotBavurusu">
    <w:name w:val="footnote reference"/>
    <w:semiHidden/>
    <w:rsid w:val="00084AF2"/>
    <w:rPr>
      <w:vertAlign w:val="superscript"/>
    </w:rPr>
  </w:style>
  <w:style w:type="paragraph" w:styleId="KonuBal">
    <w:name w:val="Title"/>
    <w:basedOn w:val="Normal"/>
    <w:qFormat/>
    <w:rsid w:val="00084AF2"/>
    <w:pPr>
      <w:jc w:val="center"/>
    </w:pPr>
    <w:rPr>
      <w:rFonts w:ascii="Arial" w:eastAsia="Times New Roman" w:hAnsi="Arial"/>
      <w:b/>
      <w:sz w:val="24"/>
      <w:szCs w:val="20"/>
      <w:vertAlign w:val="baseline"/>
      <w:lang w:eastAsia="tr-TR"/>
    </w:rPr>
  </w:style>
  <w:style w:type="character" w:customStyle="1" w:styleId="NormalWebChar">
    <w:name w:val="Normal (Web) Char"/>
    <w:aliases w:val="Normal (Web) Char Char Char1,Normal (Web) Char Char Char Char Char,Normal (Web) Char Char Char Char1,Char Char,Char Char Char Char Char Char Char"/>
    <w:link w:val="NormalWeb"/>
    <w:uiPriority w:val="99"/>
    <w:locked/>
    <w:rsid w:val="00084AF2"/>
    <w:rPr>
      <w:sz w:val="24"/>
      <w:szCs w:val="24"/>
      <w:lang w:val="tr-TR" w:eastAsia="tr-TR" w:bidi="ar-SA"/>
    </w:rPr>
  </w:style>
  <w:style w:type="character" w:customStyle="1" w:styleId="iceouttxt">
    <w:name w:val="iceouttxt"/>
    <w:basedOn w:val="VarsaylanParagrafYazTipi"/>
    <w:rsid w:val="008222D6"/>
  </w:style>
  <w:style w:type="paragraph" w:styleId="GvdeMetniGirintisi3">
    <w:name w:val="Body Text Indent 3"/>
    <w:basedOn w:val="Normal"/>
    <w:rsid w:val="00C459E2"/>
    <w:pPr>
      <w:spacing w:after="120"/>
      <w:ind w:left="360"/>
    </w:pPr>
    <w:rPr>
      <w:sz w:val="16"/>
      <w:szCs w:val="16"/>
    </w:rPr>
  </w:style>
  <w:style w:type="paragraph" w:customStyle="1" w:styleId="md">
    <w:name w:val="md"/>
    <w:basedOn w:val="Normal"/>
    <w:rsid w:val="004B5453"/>
    <w:pPr>
      <w:spacing w:before="100" w:beforeAutospacing="1" w:after="100" w:afterAutospacing="1"/>
    </w:pPr>
    <w:rPr>
      <w:rFonts w:eastAsia="Times New Roman"/>
      <w:sz w:val="24"/>
      <w:szCs w:val="24"/>
      <w:vertAlign w:val="baseline"/>
      <w:lang w:eastAsia="tr-TR"/>
    </w:rPr>
  </w:style>
  <w:style w:type="paragraph" w:styleId="ListeParagraf">
    <w:name w:val="List Paragraph"/>
    <w:basedOn w:val="Normal"/>
    <w:uiPriority w:val="34"/>
    <w:qFormat/>
    <w:rsid w:val="00656E60"/>
    <w:pPr>
      <w:ind w:left="708"/>
    </w:pPr>
    <w:rPr>
      <w:rFonts w:eastAsia="Times New Roman"/>
      <w:bCs/>
      <w:sz w:val="24"/>
      <w:szCs w:val="24"/>
      <w:vertAlign w:val="baseline"/>
      <w:lang w:eastAsia="tr-TR"/>
    </w:rPr>
  </w:style>
  <w:style w:type="paragraph" w:customStyle="1" w:styleId="ListeParagraf1">
    <w:name w:val="Liste Paragraf1"/>
    <w:basedOn w:val="Normal"/>
    <w:rsid w:val="004714A4"/>
    <w:pPr>
      <w:spacing w:after="200" w:line="276" w:lineRule="auto"/>
      <w:ind w:left="720"/>
      <w:contextualSpacing/>
    </w:pPr>
    <w:rPr>
      <w:rFonts w:ascii="Calibri" w:eastAsia="Times New Roman" w:hAnsi="Calibri"/>
      <w:sz w:val="22"/>
      <w:szCs w:val="22"/>
      <w:vertAlign w:val="baseline"/>
      <w:lang w:eastAsia="en-US"/>
    </w:rPr>
  </w:style>
  <w:style w:type="paragraph" w:styleId="AklamaKonusu">
    <w:name w:val="annotation subject"/>
    <w:basedOn w:val="AklamaMetni"/>
    <w:next w:val="AklamaMetni"/>
    <w:link w:val="AklamaKonusuChar"/>
    <w:rsid w:val="006825C9"/>
    <w:rPr>
      <w:rFonts w:eastAsia="Batang"/>
      <w:b/>
      <w:bCs/>
      <w:vertAlign w:val="subscript"/>
      <w:lang w:eastAsia="ko-KR"/>
    </w:rPr>
  </w:style>
  <w:style w:type="character" w:customStyle="1" w:styleId="AklamaMetniChar">
    <w:name w:val="Açıklama Metni Char"/>
    <w:basedOn w:val="VarsaylanParagrafYazTipi"/>
    <w:link w:val="AklamaMetni"/>
    <w:semiHidden/>
    <w:rsid w:val="006825C9"/>
  </w:style>
  <w:style w:type="character" w:customStyle="1" w:styleId="AklamaKonusuChar">
    <w:name w:val="Açıklama Konusu Char"/>
    <w:basedOn w:val="AklamaMetniChar"/>
    <w:link w:val="AklamaKonusu"/>
    <w:rsid w:val="006825C9"/>
  </w:style>
  <w:style w:type="paragraph" w:customStyle="1" w:styleId="xl65">
    <w:name w:val="xl65"/>
    <w:basedOn w:val="Normal"/>
    <w:uiPriority w:val="99"/>
    <w:rsid w:val="000158E9"/>
    <w:pPr>
      <w:spacing w:before="100" w:beforeAutospacing="1" w:after="100" w:afterAutospacing="1"/>
    </w:pPr>
    <w:rPr>
      <w:rFonts w:eastAsia="Times New Roman"/>
      <w:sz w:val="24"/>
      <w:szCs w:val="24"/>
      <w:vertAlign w:val="baseline"/>
      <w:lang w:eastAsia="tr-TR"/>
    </w:rPr>
  </w:style>
  <w:style w:type="character" w:styleId="zlenenKpr">
    <w:name w:val="FollowedHyperlink"/>
    <w:uiPriority w:val="99"/>
    <w:rsid w:val="00C5781E"/>
    <w:rPr>
      <w:rFonts w:cs="Times New Roman"/>
      <w:color w:val="800080"/>
      <w:u w:val="single"/>
    </w:rPr>
  </w:style>
  <w:style w:type="character" w:customStyle="1" w:styleId="Balk1Char">
    <w:name w:val="Başlık 1 Char"/>
    <w:link w:val="Balk1"/>
    <w:uiPriority w:val="9"/>
    <w:rsid w:val="00F020EC"/>
    <w:rPr>
      <w:rFonts w:ascii="Cambria" w:hAnsi="Cambria"/>
      <w:b/>
      <w:bCs/>
      <w:color w:val="365F91"/>
      <w:sz w:val="28"/>
      <w:szCs w:val="28"/>
    </w:rPr>
  </w:style>
  <w:style w:type="table" w:styleId="TabloKlavuzu">
    <w:name w:val="Table Grid"/>
    <w:basedOn w:val="NormalTablo"/>
    <w:uiPriority w:val="59"/>
    <w:rsid w:val="00B756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link w:val="BalonMetni"/>
    <w:uiPriority w:val="99"/>
    <w:semiHidden/>
    <w:rsid w:val="00A147CA"/>
    <w:rPr>
      <w:rFonts w:ascii="Tahoma" w:eastAsia="Batang" w:hAnsi="Tahoma" w:cs="Tahoma"/>
      <w:sz w:val="16"/>
      <w:szCs w:val="16"/>
      <w:vertAlign w:val="subscript"/>
      <w:lang w:eastAsia="ko-KR"/>
    </w:rPr>
  </w:style>
  <w:style w:type="paragraph" w:styleId="stbilgi">
    <w:name w:val="header"/>
    <w:basedOn w:val="Normal"/>
    <w:link w:val="stbilgiChar"/>
    <w:uiPriority w:val="99"/>
    <w:rsid w:val="009557D9"/>
    <w:pPr>
      <w:tabs>
        <w:tab w:val="center" w:pos="4536"/>
        <w:tab w:val="right" w:pos="9072"/>
      </w:tabs>
    </w:pPr>
  </w:style>
  <w:style w:type="character" w:customStyle="1" w:styleId="stbilgiChar">
    <w:name w:val="Üstbilgi Char"/>
    <w:basedOn w:val="VarsaylanParagrafYazTipi"/>
    <w:link w:val="stbilgi"/>
    <w:uiPriority w:val="99"/>
    <w:rsid w:val="009557D9"/>
    <w:rPr>
      <w:rFonts w:eastAsia="Batang"/>
      <w:sz w:val="28"/>
      <w:szCs w:val="28"/>
      <w:vertAlign w:val="subscript"/>
      <w:lang w:eastAsia="ko-KR"/>
    </w:rPr>
  </w:style>
  <w:style w:type="paragraph" w:styleId="Altbilgi">
    <w:name w:val="footer"/>
    <w:basedOn w:val="Normal"/>
    <w:link w:val="AltbilgiChar"/>
    <w:uiPriority w:val="99"/>
    <w:rsid w:val="009557D9"/>
    <w:pPr>
      <w:tabs>
        <w:tab w:val="center" w:pos="4536"/>
        <w:tab w:val="right" w:pos="9072"/>
      </w:tabs>
    </w:pPr>
  </w:style>
  <w:style w:type="character" w:customStyle="1" w:styleId="AltbilgiChar">
    <w:name w:val="Altbilgi Char"/>
    <w:basedOn w:val="VarsaylanParagrafYazTipi"/>
    <w:link w:val="Altbilgi"/>
    <w:uiPriority w:val="99"/>
    <w:rsid w:val="009557D9"/>
    <w:rPr>
      <w:rFonts w:eastAsia="Batang"/>
      <w:sz w:val="28"/>
      <w:szCs w:val="28"/>
      <w:vertAlign w:val="subscript"/>
      <w:lang w:eastAsia="ko-KR"/>
    </w:rPr>
  </w:style>
  <w:style w:type="paragraph" w:customStyle="1" w:styleId="Marie">
    <w:name w:val="Marie"/>
    <w:basedOn w:val="Normal"/>
    <w:rsid w:val="00351575"/>
    <w:pPr>
      <w:spacing w:line="220" w:lineRule="atLeast"/>
      <w:jc w:val="both"/>
    </w:pPr>
    <w:rPr>
      <w:rFonts w:eastAsia="Times New Roman"/>
      <w:sz w:val="24"/>
      <w:szCs w:val="20"/>
      <w:vertAlign w:val="baseline"/>
      <w:lang w:val="en-GB" w:eastAsia="en-US"/>
    </w:rPr>
  </w:style>
  <w:style w:type="paragraph" w:customStyle="1" w:styleId="Balk">
    <w:name w:val="Başlık"/>
    <w:basedOn w:val="Normal"/>
    <w:rsid w:val="009677DC"/>
    <w:pPr>
      <w:spacing w:before="180"/>
    </w:pPr>
    <w:rPr>
      <w:rFonts w:eastAsia="Times New Roman"/>
      <w:b/>
      <w:bCs/>
      <w:iCs/>
      <w:noProof/>
      <w:sz w:val="24"/>
      <w:szCs w:val="24"/>
      <w:vertAlign w:val="baseli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303">
      <w:bodyDiv w:val="1"/>
      <w:marLeft w:val="0"/>
      <w:marRight w:val="0"/>
      <w:marTop w:val="0"/>
      <w:marBottom w:val="0"/>
      <w:divBdr>
        <w:top w:val="none" w:sz="0" w:space="0" w:color="auto"/>
        <w:left w:val="none" w:sz="0" w:space="0" w:color="auto"/>
        <w:bottom w:val="none" w:sz="0" w:space="0" w:color="auto"/>
        <w:right w:val="none" w:sz="0" w:space="0" w:color="auto"/>
      </w:divBdr>
    </w:div>
    <w:div w:id="19473393">
      <w:bodyDiv w:val="1"/>
      <w:marLeft w:val="0"/>
      <w:marRight w:val="0"/>
      <w:marTop w:val="0"/>
      <w:marBottom w:val="0"/>
      <w:divBdr>
        <w:top w:val="none" w:sz="0" w:space="0" w:color="auto"/>
        <w:left w:val="none" w:sz="0" w:space="0" w:color="auto"/>
        <w:bottom w:val="none" w:sz="0" w:space="0" w:color="auto"/>
        <w:right w:val="none" w:sz="0" w:space="0" w:color="auto"/>
      </w:divBdr>
    </w:div>
    <w:div w:id="37513833">
      <w:bodyDiv w:val="1"/>
      <w:marLeft w:val="0"/>
      <w:marRight w:val="0"/>
      <w:marTop w:val="0"/>
      <w:marBottom w:val="0"/>
      <w:divBdr>
        <w:top w:val="none" w:sz="0" w:space="0" w:color="auto"/>
        <w:left w:val="none" w:sz="0" w:space="0" w:color="auto"/>
        <w:bottom w:val="none" w:sz="0" w:space="0" w:color="auto"/>
        <w:right w:val="none" w:sz="0" w:space="0" w:color="auto"/>
      </w:divBdr>
    </w:div>
    <w:div w:id="168378240">
      <w:bodyDiv w:val="1"/>
      <w:marLeft w:val="0"/>
      <w:marRight w:val="0"/>
      <w:marTop w:val="0"/>
      <w:marBottom w:val="0"/>
      <w:divBdr>
        <w:top w:val="none" w:sz="0" w:space="0" w:color="auto"/>
        <w:left w:val="none" w:sz="0" w:space="0" w:color="auto"/>
        <w:bottom w:val="none" w:sz="0" w:space="0" w:color="auto"/>
        <w:right w:val="none" w:sz="0" w:space="0" w:color="auto"/>
      </w:divBdr>
    </w:div>
    <w:div w:id="326247103">
      <w:bodyDiv w:val="1"/>
      <w:marLeft w:val="0"/>
      <w:marRight w:val="0"/>
      <w:marTop w:val="0"/>
      <w:marBottom w:val="0"/>
      <w:divBdr>
        <w:top w:val="none" w:sz="0" w:space="0" w:color="auto"/>
        <w:left w:val="none" w:sz="0" w:space="0" w:color="auto"/>
        <w:bottom w:val="none" w:sz="0" w:space="0" w:color="auto"/>
        <w:right w:val="none" w:sz="0" w:space="0" w:color="auto"/>
      </w:divBdr>
    </w:div>
    <w:div w:id="463044152">
      <w:bodyDiv w:val="1"/>
      <w:marLeft w:val="0"/>
      <w:marRight w:val="0"/>
      <w:marTop w:val="0"/>
      <w:marBottom w:val="0"/>
      <w:divBdr>
        <w:top w:val="none" w:sz="0" w:space="0" w:color="auto"/>
        <w:left w:val="none" w:sz="0" w:space="0" w:color="auto"/>
        <w:bottom w:val="none" w:sz="0" w:space="0" w:color="auto"/>
        <w:right w:val="none" w:sz="0" w:space="0" w:color="auto"/>
      </w:divBdr>
    </w:div>
    <w:div w:id="465973017">
      <w:bodyDiv w:val="1"/>
      <w:marLeft w:val="0"/>
      <w:marRight w:val="0"/>
      <w:marTop w:val="0"/>
      <w:marBottom w:val="0"/>
      <w:divBdr>
        <w:top w:val="none" w:sz="0" w:space="0" w:color="auto"/>
        <w:left w:val="none" w:sz="0" w:space="0" w:color="auto"/>
        <w:bottom w:val="none" w:sz="0" w:space="0" w:color="auto"/>
        <w:right w:val="none" w:sz="0" w:space="0" w:color="auto"/>
      </w:divBdr>
    </w:div>
    <w:div w:id="630668617">
      <w:bodyDiv w:val="1"/>
      <w:marLeft w:val="0"/>
      <w:marRight w:val="0"/>
      <w:marTop w:val="0"/>
      <w:marBottom w:val="0"/>
      <w:divBdr>
        <w:top w:val="none" w:sz="0" w:space="0" w:color="auto"/>
        <w:left w:val="none" w:sz="0" w:space="0" w:color="auto"/>
        <w:bottom w:val="none" w:sz="0" w:space="0" w:color="auto"/>
        <w:right w:val="none" w:sz="0" w:space="0" w:color="auto"/>
      </w:divBdr>
    </w:div>
    <w:div w:id="700395189">
      <w:bodyDiv w:val="1"/>
      <w:marLeft w:val="0"/>
      <w:marRight w:val="0"/>
      <w:marTop w:val="0"/>
      <w:marBottom w:val="0"/>
      <w:divBdr>
        <w:top w:val="none" w:sz="0" w:space="0" w:color="auto"/>
        <w:left w:val="none" w:sz="0" w:space="0" w:color="auto"/>
        <w:bottom w:val="none" w:sz="0" w:space="0" w:color="auto"/>
        <w:right w:val="none" w:sz="0" w:space="0" w:color="auto"/>
      </w:divBdr>
    </w:div>
    <w:div w:id="723330571">
      <w:bodyDiv w:val="1"/>
      <w:marLeft w:val="0"/>
      <w:marRight w:val="0"/>
      <w:marTop w:val="0"/>
      <w:marBottom w:val="0"/>
      <w:divBdr>
        <w:top w:val="none" w:sz="0" w:space="0" w:color="auto"/>
        <w:left w:val="none" w:sz="0" w:space="0" w:color="auto"/>
        <w:bottom w:val="none" w:sz="0" w:space="0" w:color="auto"/>
        <w:right w:val="none" w:sz="0" w:space="0" w:color="auto"/>
      </w:divBdr>
    </w:div>
    <w:div w:id="1143623241">
      <w:bodyDiv w:val="1"/>
      <w:marLeft w:val="0"/>
      <w:marRight w:val="0"/>
      <w:marTop w:val="0"/>
      <w:marBottom w:val="0"/>
      <w:divBdr>
        <w:top w:val="none" w:sz="0" w:space="0" w:color="auto"/>
        <w:left w:val="none" w:sz="0" w:space="0" w:color="auto"/>
        <w:bottom w:val="none" w:sz="0" w:space="0" w:color="auto"/>
        <w:right w:val="none" w:sz="0" w:space="0" w:color="auto"/>
      </w:divBdr>
    </w:div>
    <w:div w:id="1205826817">
      <w:bodyDiv w:val="1"/>
      <w:marLeft w:val="0"/>
      <w:marRight w:val="0"/>
      <w:marTop w:val="0"/>
      <w:marBottom w:val="0"/>
      <w:divBdr>
        <w:top w:val="none" w:sz="0" w:space="0" w:color="auto"/>
        <w:left w:val="none" w:sz="0" w:space="0" w:color="auto"/>
        <w:bottom w:val="none" w:sz="0" w:space="0" w:color="auto"/>
        <w:right w:val="none" w:sz="0" w:space="0" w:color="auto"/>
      </w:divBdr>
    </w:div>
    <w:div w:id="1225292750">
      <w:bodyDiv w:val="1"/>
      <w:marLeft w:val="0"/>
      <w:marRight w:val="0"/>
      <w:marTop w:val="0"/>
      <w:marBottom w:val="0"/>
      <w:divBdr>
        <w:top w:val="none" w:sz="0" w:space="0" w:color="auto"/>
        <w:left w:val="none" w:sz="0" w:space="0" w:color="auto"/>
        <w:bottom w:val="none" w:sz="0" w:space="0" w:color="auto"/>
        <w:right w:val="none" w:sz="0" w:space="0" w:color="auto"/>
      </w:divBdr>
    </w:div>
    <w:div w:id="1322539072">
      <w:bodyDiv w:val="1"/>
      <w:marLeft w:val="0"/>
      <w:marRight w:val="0"/>
      <w:marTop w:val="0"/>
      <w:marBottom w:val="0"/>
      <w:divBdr>
        <w:top w:val="none" w:sz="0" w:space="0" w:color="auto"/>
        <w:left w:val="none" w:sz="0" w:space="0" w:color="auto"/>
        <w:bottom w:val="none" w:sz="0" w:space="0" w:color="auto"/>
        <w:right w:val="none" w:sz="0" w:space="0" w:color="auto"/>
      </w:divBdr>
    </w:div>
    <w:div w:id="1323392583">
      <w:bodyDiv w:val="1"/>
      <w:marLeft w:val="0"/>
      <w:marRight w:val="0"/>
      <w:marTop w:val="0"/>
      <w:marBottom w:val="0"/>
      <w:divBdr>
        <w:top w:val="none" w:sz="0" w:space="0" w:color="auto"/>
        <w:left w:val="none" w:sz="0" w:space="0" w:color="auto"/>
        <w:bottom w:val="none" w:sz="0" w:space="0" w:color="auto"/>
        <w:right w:val="none" w:sz="0" w:space="0" w:color="auto"/>
      </w:divBdr>
    </w:div>
    <w:div w:id="1349408310">
      <w:bodyDiv w:val="1"/>
      <w:marLeft w:val="0"/>
      <w:marRight w:val="0"/>
      <w:marTop w:val="0"/>
      <w:marBottom w:val="0"/>
      <w:divBdr>
        <w:top w:val="none" w:sz="0" w:space="0" w:color="auto"/>
        <w:left w:val="none" w:sz="0" w:space="0" w:color="auto"/>
        <w:bottom w:val="none" w:sz="0" w:space="0" w:color="auto"/>
        <w:right w:val="none" w:sz="0" w:space="0" w:color="auto"/>
      </w:divBdr>
    </w:div>
    <w:div w:id="1402605163">
      <w:bodyDiv w:val="1"/>
      <w:marLeft w:val="0"/>
      <w:marRight w:val="0"/>
      <w:marTop w:val="0"/>
      <w:marBottom w:val="0"/>
      <w:divBdr>
        <w:top w:val="none" w:sz="0" w:space="0" w:color="auto"/>
        <w:left w:val="none" w:sz="0" w:space="0" w:color="auto"/>
        <w:bottom w:val="none" w:sz="0" w:space="0" w:color="auto"/>
        <w:right w:val="none" w:sz="0" w:space="0" w:color="auto"/>
      </w:divBdr>
    </w:div>
    <w:div w:id="1524048798">
      <w:bodyDiv w:val="1"/>
      <w:marLeft w:val="0"/>
      <w:marRight w:val="0"/>
      <w:marTop w:val="0"/>
      <w:marBottom w:val="0"/>
      <w:divBdr>
        <w:top w:val="none" w:sz="0" w:space="0" w:color="auto"/>
        <w:left w:val="none" w:sz="0" w:space="0" w:color="auto"/>
        <w:bottom w:val="none" w:sz="0" w:space="0" w:color="auto"/>
        <w:right w:val="none" w:sz="0" w:space="0" w:color="auto"/>
      </w:divBdr>
    </w:div>
    <w:div w:id="1596935455">
      <w:bodyDiv w:val="1"/>
      <w:marLeft w:val="0"/>
      <w:marRight w:val="0"/>
      <w:marTop w:val="0"/>
      <w:marBottom w:val="0"/>
      <w:divBdr>
        <w:top w:val="none" w:sz="0" w:space="0" w:color="auto"/>
        <w:left w:val="none" w:sz="0" w:space="0" w:color="auto"/>
        <w:bottom w:val="none" w:sz="0" w:space="0" w:color="auto"/>
        <w:right w:val="none" w:sz="0" w:space="0" w:color="auto"/>
      </w:divBdr>
    </w:div>
    <w:div w:id="1619067084">
      <w:bodyDiv w:val="1"/>
      <w:marLeft w:val="0"/>
      <w:marRight w:val="0"/>
      <w:marTop w:val="0"/>
      <w:marBottom w:val="0"/>
      <w:divBdr>
        <w:top w:val="none" w:sz="0" w:space="0" w:color="auto"/>
        <w:left w:val="none" w:sz="0" w:space="0" w:color="auto"/>
        <w:bottom w:val="none" w:sz="0" w:space="0" w:color="auto"/>
        <w:right w:val="none" w:sz="0" w:space="0" w:color="auto"/>
      </w:divBdr>
    </w:div>
    <w:div w:id="1700929349">
      <w:bodyDiv w:val="1"/>
      <w:marLeft w:val="0"/>
      <w:marRight w:val="0"/>
      <w:marTop w:val="0"/>
      <w:marBottom w:val="0"/>
      <w:divBdr>
        <w:top w:val="none" w:sz="0" w:space="0" w:color="auto"/>
        <w:left w:val="none" w:sz="0" w:space="0" w:color="auto"/>
        <w:bottom w:val="none" w:sz="0" w:space="0" w:color="auto"/>
        <w:right w:val="none" w:sz="0" w:space="0" w:color="auto"/>
      </w:divBdr>
    </w:div>
    <w:div w:id="1741558152">
      <w:bodyDiv w:val="1"/>
      <w:marLeft w:val="0"/>
      <w:marRight w:val="0"/>
      <w:marTop w:val="0"/>
      <w:marBottom w:val="0"/>
      <w:divBdr>
        <w:top w:val="none" w:sz="0" w:space="0" w:color="auto"/>
        <w:left w:val="none" w:sz="0" w:space="0" w:color="auto"/>
        <w:bottom w:val="none" w:sz="0" w:space="0" w:color="auto"/>
        <w:right w:val="none" w:sz="0" w:space="0" w:color="auto"/>
      </w:divBdr>
    </w:div>
    <w:div w:id="1779985657">
      <w:bodyDiv w:val="1"/>
      <w:marLeft w:val="0"/>
      <w:marRight w:val="0"/>
      <w:marTop w:val="0"/>
      <w:marBottom w:val="0"/>
      <w:divBdr>
        <w:top w:val="none" w:sz="0" w:space="0" w:color="auto"/>
        <w:left w:val="none" w:sz="0" w:space="0" w:color="auto"/>
        <w:bottom w:val="none" w:sz="0" w:space="0" w:color="auto"/>
        <w:right w:val="none" w:sz="0" w:space="0" w:color="auto"/>
      </w:divBdr>
    </w:div>
    <w:div w:id="1790276339">
      <w:bodyDiv w:val="1"/>
      <w:marLeft w:val="0"/>
      <w:marRight w:val="0"/>
      <w:marTop w:val="0"/>
      <w:marBottom w:val="0"/>
      <w:divBdr>
        <w:top w:val="none" w:sz="0" w:space="0" w:color="auto"/>
        <w:left w:val="none" w:sz="0" w:space="0" w:color="auto"/>
        <w:bottom w:val="none" w:sz="0" w:space="0" w:color="auto"/>
        <w:right w:val="none" w:sz="0" w:space="0" w:color="auto"/>
      </w:divBdr>
    </w:div>
    <w:div w:id="1820337996">
      <w:bodyDiv w:val="1"/>
      <w:marLeft w:val="0"/>
      <w:marRight w:val="0"/>
      <w:marTop w:val="0"/>
      <w:marBottom w:val="0"/>
      <w:divBdr>
        <w:top w:val="none" w:sz="0" w:space="0" w:color="auto"/>
        <w:left w:val="none" w:sz="0" w:space="0" w:color="auto"/>
        <w:bottom w:val="none" w:sz="0" w:space="0" w:color="auto"/>
        <w:right w:val="none" w:sz="0" w:space="0" w:color="auto"/>
      </w:divBdr>
    </w:div>
    <w:div w:id="19858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1DE7-98A8-4F42-9BBF-121C423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4641</Words>
  <Characters>26459</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ELEKTRİK PİYASASI DAĞITIM SİSTEMİ DÜZENLEMEYE ESAS YATIRIM HARCAMALARININ BELİRLENMESİ VE İZLENMESİNE İLİŞKİN USUL VE ESASLAR</vt:lpstr>
    </vt:vector>
  </TitlesOfParts>
  <Company>epdk</Company>
  <LinksUpToDate>false</LinksUpToDate>
  <CharactersWithSpaces>31038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PİYASASI DAĞITIM SİSTEMİ DÜZENLEMEYE ESAS YATIRIM HARCAMALARININ BELİRLENMESİ VE İZLENMESİNE İLİŞKİN USUL VE ESASLAR</dc:title>
  <dc:creator>Hacı Ali ULUTAŞ</dc:creator>
  <cp:lastModifiedBy>SAİD ARSLAN</cp:lastModifiedBy>
  <cp:revision>2</cp:revision>
  <cp:lastPrinted>2015-11-26T08:18:00Z</cp:lastPrinted>
  <dcterms:created xsi:type="dcterms:W3CDTF">2020-01-23T13:54:00Z</dcterms:created>
  <dcterms:modified xsi:type="dcterms:W3CDTF">2020-01-23T13:54:00Z</dcterms:modified>
</cp:coreProperties>
</file>