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D98" w:rsidRDefault="004E0D98" w:rsidP="007D57B6">
      <w:pPr>
        <w:rPr>
          <w:b/>
          <w:szCs w:val="32"/>
        </w:rPr>
      </w:pPr>
      <w:bookmarkStart w:id="0" w:name="_GoBack"/>
      <w:bookmarkEnd w:id="0"/>
    </w:p>
    <w:p w:rsidR="004E0D98" w:rsidRPr="00B84AC9" w:rsidRDefault="00B84AC9" w:rsidP="00B84AC9">
      <w:pPr>
        <w:pStyle w:val="DzMetin"/>
        <w:spacing w:line="276" w:lineRule="auto"/>
        <w:contextualSpacing/>
        <w:jc w:val="center"/>
        <w:rPr>
          <w:rFonts w:ascii="Times New Roman" w:hAnsi="Times New Roman" w:cs="Times New Roman"/>
          <w:color w:val="BFBFBF" w:themeColor="background1" w:themeShade="BF"/>
          <w:sz w:val="24"/>
          <w:szCs w:val="24"/>
        </w:rPr>
      </w:pPr>
      <w:r w:rsidRPr="00B84AC9">
        <w:rPr>
          <w:rFonts w:ascii="Times New Roman" w:hAnsi="Times New Roman" w:cs="Times New Roman"/>
          <w:color w:val="BFBFBF" w:themeColor="background1" w:themeShade="BF"/>
          <w:sz w:val="24"/>
          <w:szCs w:val="24"/>
        </w:rPr>
        <w:t xml:space="preserve">30/12/2017 tarihli ve 30286 sayılı (1. Mükerrer) </w:t>
      </w:r>
      <w:r>
        <w:rPr>
          <w:rFonts w:ascii="Times New Roman" w:hAnsi="Times New Roman" w:cs="Times New Roman"/>
          <w:color w:val="BFBFBF" w:themeColor="background1" w:themeShade="BF"/>
          <w:sz w:val="24"/>
          <w:szCs w:val="24"/>
        </w:rPr>
        <w:t>Resmi Gazete</w:t>
      </w:r>
      <w:r w:rsidRPr="00B84AC9">
        <w:rPr>
          <w:rFonts w:ascii="Times New Roman" w:hAnsi="Times New Roman" w:cs="Times New Roman"/>
          <w:color w:val="BFBFBF" w:themeColor="background1" w:themeShade="BF"/>
          <w:sz w:val="24"/>
          <w:szCs w:val="24"/>
        </w:rPr>
        <w:t>de yayımlanmıştır.</w:t>
      </w:r>
    </w:p>
    <w:p w:rsidR="004E0D98" w:rsidRDefault="004E0D98" w:rsidP="007D57B6">
      <w:pPr>
        <w:rPr>
          <w:b/>
          <w:szCs w:val="32"/>
        </w:rPr>
      </w:pPr>
    </w:p>
    <w:p w:rsidR="00B84AC9" w:rsidRDefault="00B84AC9" w:rsidP="007D57B6">
      <w:pPr>
        <w:rPr>
          <w:b/>
          <w:szCs w:val="32"/>
        </w:rPr>
      </w:pPr>
    </w:p>
    <w:p w:rsidR="00B84AC9" w:rsidRDefault="00B84AC9" w:rsidP="007D57B6">
      <w:pPr>
        <w:rPr>
          <w:b/>
          <w:szCs w:val="32"/>
        </w:rPr>
      </w:pPr>
    </w:p>
    <w:p w:rsidR="002D1FDE" w:rsidRPr="006D3E66" w:rsidRDefault="002D1FDE" w:rsidP="007D57B6">
      <w:pPr>
        <w:rPr>
          <w:b/>
          <w:szCs w:val="32"/>
        </w:rPr>
      </w:pPr>
      <w:r w:rsidRPr="006D3E66">
        <w:rPr>
          <w:b/>
          <w:szCs w:val="32"/>
        </w:rPr>
        <w:t>KULLANICI MÜLKİYETİNDEKİ ELEKTRİK TESİSLERİNİN ELEKTRİK DAĞITIM ŞİRKETLERİNCE DEVRALINMASINA DAİR USUL VE ESASLAR</w:t>
      </w:r>
    </w:p>
    <w:p w:rsidR="002D1FDE" w:rsidRPr="006D3E66" w:rsidRDefault="002D1FDE" w:rsidP="007D57B6">
      <w:pPr>
        <w:rPr>
          <w:b/>
          <w:sz w:val="32"/>
          <w:szCs w:val="32"/>
        </w:rPr>
      </w:pPr>
    </w:p>
    <w:p w:rsidR="002D1FDE" w:rsidRPr="006D3E66" w:rsidRDefault="002D1FDE" w:rsidP="007D57B6">
      <w:pPr>
        <w:autoSpaceDE w:val="0"/>
        <w:autoSpaceDN w:val="0"/>
        <w:adjustRightInd w:val="0"/>
        <w:rPr>
          <w:rFonts w:eastAsiaTheme="minorHAnsi"/>
          <w:b/>
          <w:bCs/>
          <w:lang w:eastAsia="en-US"/>
        </w:rPr>
      </w:pPr>
      <w:r w:rsidRPr="006D3E66">
        <w:rPr>
          <w:rFonts w:eastAsiaTheme="minorHAnsi"/>
          <w:b/>
          <w:bCs/>
          <w:lang w:eastAsia="en-US"/>
        </w:rPr>
        <w:t>Amaç ve kapsam</w:t>
      </w:r>
    </w:p>
    <w:p w:rsidR="002D1FDE" w:rsidRPr="006D3E66" w:rsidRDefault="002D1FDE" w:rsidP="007D57B6">
      <w:pPr>
        <w:autoSpaceDE w:val="0"/>
        <w:autoSpaceDN w:val="0"/>
        <w:adjustRightInd w:val="0"/>
        <w:rPr>
          <w:rFonts w:eastAsiaTheme="minorHAnsi"/>
          <w:lang w:eastAsia="en-US"/>
        </w:rPr>
      </w:pPr>
      <w:r w:rsidRPr="006D3E66">
        <w:rPr>
          <w:rFonts w:eastAsiaTheme="minorHAnsi"/>
          <w:b/>
          <w:bCs/>
          <w:lang w:eastAsia="en-US"/>
        </w:rPr>
        <w:t xml:space="preserve">MADDE 1- </w:t>
      </w:r>
      <w:r w:rsidRPr="006D3E66">
        <w:rPr>
          <w:rFonts w:eastAsiaTheme="minorHAnsi"/>
          <w:lang w:eastAsia="en-US"/>
        </w:rPr>
        <w:t>(1) Bu düzenlemenin amacı ve kapsamı, Elektrik Piyasası Bağlantı ve Sistem Kullanım Yönetmeliği uyarınca bir kullanıcının mülkiyetinde bulunan elektrik tesislerinden Yönetmeliğin 37 nci maddesinin birinci fıkrası kapsamında yer alanların elektrik dağıtım şirketlerince devralınmasına ilişkin usul ve esasların belirlenmesidir.</w:t>
      </w:r>
    </w:p>
    <w:p w:rsidR="002D1FDE" w:rsidRPr="006D3E66" w:rsidRDefault="002D1FDE" w:rsidP="007D57B6">
      <w:pPr>
        <w:autoSpaceDE w:val="0"/>
        <w:autoSpaceDN w:val="0"/>
        <w:adjustRightInd w:val="0"/>
        <w:rPr>
          <w:rFonts w:eastAsiaTheme="minorHAnsi"/>
          <w:lang w:eastAsia="en-US"/>
        </w:rPr>
      </w:pPr>
    </w:p>
    <w:p w:rsidR="002D1FDE" w:rsidRPr="006D3E66" w:rsidRDefault="002D1FDE" w:rsidP="007D57B6">
      <w:pPr>
        <w:autoSpaceDE w:val="0"/>
        <w:autoSpaceDN w:val="0"/>
        <w:adjustRightInd w:val="0"/>
        <w:rPr>
          <w:rFonts w:eastAsiaTheme="minorHAnsi"/>
          <w:b/>
          <w:bCs/>
          <w:lang w:eastAsia="en-US"/>
        </w:rPr>
      </w:pPr>
      <w:r w:rsidRPr="006D3E66">
        <w:rPr>
          <w:rFonts w:eastAsiaTheme="minorHAnsi"/>
          <w:b/>
          <w:bCs/>
          <w:lang w:eastAsia="en-US"/>
        </w:rPr>
        <w:t>Hukuki dayanak</w:t>
      </w:r>
    </w:p>
    <w:p w:rsidR="002D1FDE" w:rsidRPr="006D3E66" w:rsidRDefault="002D1FDE" w:rsidP="007D57B6">
      <w:pPr>
        <w:autoSpaceDE w:val="0"/>
        <w:autoSpaceDN w:val="0"/>
        <w:adjustRightInd w:val="0"/>
        <w:rPr>
          <w:rFonts w:eastAsiaTheme="minorHAnsi"/>
          <w:lang w:eastAsia="en-US"/>
        </w:rPr>
      </w:pPr>
      <w:r w:rsidRPr="006D3E66">
        <w:rPr>
          <w:rFonts w:eastAsiaTheme="minorHAnsi"/>
          <w:b/>
          <w:bCs/>
          <w:lang w:eastAsia="en-US"/>
        </w:rPr>
        <w:t xml:space="preserve">MADDE 2 - </w:t>
      </w:r>
      <w:r w:rsidRPr="006D3E66">
        <w:rPr>
          <w:rFonts w:eastAsiaTheme="minorHAnsi"/>
          <w:lang w:eastAsia="en-US"/>
        </w:rPr>
        <w:t>(1) Bu düzenleme, Elektrik Piyasası Bağlantı ve Sistem Kullanım Yönetmeliği’nin 37 nci maddesine dayanılarak hazırlanmıştır.</w:t>
      </w:r>
    </w:p>
    <w:p w:rsidR="002D1FDE" w:rsidRPr="006D3E66" w:rsidRDefault="002D1FDE" w:rsidP="007D57B6">
      <w:pPr>
        <w:autoSpaceDE w:val="0"/>
        <w:autoSpaceDN w:val="0"/>
        <w:adjustRightInd w:val="0"/>
        <w:rPr>
          <w:rFonts w:eastAsiaTheme="minorHAnsi"/>
          <w:lang w:eastAsia="en-US"/>
        </w:rPr>
      </w:pPr>
    </w:p>
    <w:p w:rsidR="002D1FDE" w:rsidRPr="006D3E66" w:rsidRDefault="002D1FDE" w:rsidP="007D57B6">
      <w:pPr>
        <w:autoSpaceDE w:val="0"/>
        <w:autoSpaceDN w:val="0"/>
        <w:adjustRightInd w:val="0"/>
        <w:rPr>
          <w:rFonts w:eastAsiaTheme="minorHAnsi"/>
          <w:b/>
          <w:bCs/>
          <w:lang w:eastAsia="en-US"/>
        </w:rPr>
      </w:pPr>
      <w:r w:rsidRPr="006D3E66">
        <w:rPr>
          <w:rFonts w:eastAsiaTheme="minorHAnsi"/>
          <w:b/>
          <w:bCs/>
          <w:lang w:eastAsia="en-US"/>
        </w:rPr>
        <w:t>Tanımlar ve kısaltmalar</w:t>
      </w:r>
    </w:p>
    <w:p w:rsidR="002D1FDE" w:rsidRPr="006D3E66" w:rsidRDefault="002D1FDE" w:rsidP="007D57B6">
      <w:pPr>
        <w:autoSpaceDE w:val="0"/>
        <w:autoSpaceDN w:val="0"/>
        <w:adjustRightInd w:val="0"/>
        <w:rPr>
          <w:rFonts w:eastAsiaTheme="minorHAnsi"/>
          <w:lang w:eastAsia="en-US"/>
        </w:rPr>
      </w:pPr>
      <w:r w:rsidRPr="006D3E66">
        <w:rPr>
          <w:rFonts w:eastAsiaTheme="minorHAnsi"/>
          <w:b/>
          <w:bCs/>
          <w:lang w:eastAsia="en-US"/>
        </w:rPr>
        <w:t xml:space="preserve">MADDE 3 - </w:t>
      </w:r>
      <w:r w:rsidRPr="006D3E66">
        <w:rPr>
          <w:rFonts w:eastAsiaTheme="minorHAnsi"/>
          <w:lang w:eastAsia="en-US"/>
        </w:rPr>
        <w:t>(1) Bu usul ve esaslarda geçen;</w:t>
      </w:r>
    </w:p>
    <w:p w:rsidR="002D1FDE" w:rsidRPr="006D3E66" w:rsidRDefault="002D1FDE" w:rsidP="007D57B6">
      <w:pPr>
        <w:autoSpaceDE w:val="0"/>
        <w:autoSpaceDN w:val="0"/>
        <w:adjustRightInd w:val="0"/>
        <w:rPr>
          <w:rFonts w:eastAsiaTheme="minorHAnsi"/>
          <w:lang w:eastAsia="en-US"/>
        </w:rPr>
      </w:pPr>
      <w:r w:rsidRPr="006D3E66">
        <w:rPr>
          <w:rFonts w:eastAsiaTheme="minorHAnsi"/>
          <w:lang w:eastAsia="en-US"/>
        </w:rPr>
        <w:t>a) Başkan: Kurum başkanını,</w:t>
      </w:r>
    </w:p>
    <w:p w:rsidR="002D1FDE" w:rsidRPr="006D3E66" w:rsidRDefault="002D1FDE" w:rsidP="007D57B6">
      <w:pPr>
        <w:tabs>
          <w:tab w:val="left" w:pos="142"/>
        </w:tabs>
        <w:autoSpaceDE w:val="0"/>
        <w:autoSpaceDN w:val="0"/>
        <w:adjustRightInd w:val="0"/>
        <w:rPr>
          <w:rFonts w:eastAsiaTheme="minorHAnsi"/>
          <w:lang w:eastAsia="en-US"/>
        </w:rPr>
      </w:pPr>
      <w:r w:rsidRPr="006D3E66">
        <w:rPr>
          <w:rFonts w:eastAsiaTheme="minorHAnsi"/>
          <w:lang w:eastAsia="en-US"/>
        </w:rPr>
        <w:t>b)</w:t>
      </w:r>
      <w:r w:rsidR="007D57B6" w:rsidRPr="006D3E66">
        <w:rPr>
          <w:rFonts w:eastAsiaTheme="minorHAnsi"/>
          <w:lang w:eastAsia="en-US"/>
        </w:rPr>
        <w:t xml:space="preserve"> </w:t>
      </w:r>
      <w:r w:rsidRPr="006D3E66">
        <w:rPr>
          <w:rFonts w:eastAsiaTheme="minorHAnsi"/>
          <w:lang w:eastAsia="en-US"/>
        </w:rPr>
        <w:t xml:space="preserve">Birim bedel: </w:t>
      </w:r>
      <w:r w:rsidRPr="006D3E66">
        <w:rPr>
          <w:w w:val="105"/>
        </w:rPr>
        <w:t>23/09/2014 tarihli ve 29128 sayılı Resmi Gazete’de yayımlanarak yürürlüğe giren Kullanıcı Tarafından Dağıtım Varlıklarının Tesis Edilme</w:t>
      </w:r>
      <w:r w:rsidRPr="006D3E66">
        <w:rPr>
          <w:bCs/>
        </w:rPr>
        <w:t xml:space="preserve"> Metodolojisi</w:t>
      </w:r>
      <w:r w:rsidRPr="006D3E66">
        <w:rPr>
          <w:rFonts w:eastAsiaTheme="minorHAnsi"/>
          <w:lang w:eastAsia="en-US"/>
        </w:rPr>
        <w:t xml:space="preserve"> kapsamında belirlenen birim bedeli,</w:t>
      </w:r>
    </w:p>
    <w:p w:rsidR="002D1FDE" w:rsidRPr="006D3E66" w:rsidRDefault="002D1FDE" w:rsidP="007D57B6">
      <w:pPr>
        <w:autoSpaceDE w:val="0"/>
        <w:autoSpaceDN w:val="0"/>
        <w:adjustRightInd w:val="0"/>
        <w:rPr>
          <w:rFonts w:eastAsiaTheme="minorHAnsi"/>
          <w:lang w:eastAsia="en-US"/>
        </w:rPr>
      </w:pPr>
      <w:r w:rsidRPr="006D3E66">
        <w:rPr>
          <w:rFonts w:eastAsiaTheme="minorHAnsi"/>
          <w:lang w:eastAsia="en-US"/>
        </w:rPr>
        <w:t>c) Kanun: 14/03/2013 tarihli ve 6446 sayılı Elektrik Piyasası Kanununu,</w:t>
      </w:r>
    </w:p>
    <w:p w:rsidR="002D1FDE" w:rsidRPr="006D3E66" w:rsidRDefault="002D1FDE" w:rsidP="007D57B6">
      <w:pPr>
        <w:autoSpaceDE w:val="0"/>
        <w:autoSpaceDN w:val="0"/>
        <w:adjustRightInd w:val="0"/>
        <w:rPr>
          <w:rFonts w:eastAsiaTheme="minorHAnsi"/>
          <w:lang w:eastAsia="en-US"/>
        </w:rPr>
      </w:pPr>
      <w:r w:rsidRPr="006D3E66">
        <w:rPr>
          <w:rFonts w:eastAsiaTheme="minorHAnsi"/>
          <w:lang w:eastAsia="en-US"/>
        </w:rPr>
        <w:t>ç) Kullanıcı: Dağıtım sistemini kullanan gerçek veya tüzel kişiyi,</w:t>
      </w:r>
    </w:p>
    <w:p w:rsidR="00832426" w:rsidRPr="006D3E66" w:rsidRDefault="002D1FDE" w:rsidP="007D57B6">
      <w:pPr>
        <w:autoSpaceDE w:val="0"/>
        <w:autoSpaceDN w:val="0"/>
        <w:adjustRightInd w:val="0"/>
        <w:rPr>
          <w:rFonts w:eastAsiaTheme="minorHAnsi"/>
          <w:lang w:eastAsia="en-US"/>
        </w:rPr>
      </w:pPr>
      <w:r w:rsidRPr="006D3E66">
        <w:rPr>
          <w:rFonts w:eastAsiaTheme="minorHAnsi"/>
          <w:lang w:eastAsia="en-US"/>
        </w:rPr>
        <w:t>d)</w:t>
      </w:r>
      <w:r w:rsidR="00832426" w:rsidRPr="006D3E66">
        <w:rPr>
          <w:rFonts w:eastAsiaTheme="minorHAnsi"/>
          <w:lang w:eastAsia="en-US"/>
        </w:rPr>
        <w:t xml:space="preserve"> Kurul: Enerji Piyasası Düzenleme Kurulunu, </w:t>
      </w:r>
    </w:p>
    <w:p w:rsidR="002D1FDE" w:rsidRPr="006D3E66" w:rsidRDefault="00832426" w:rsidP="007D57B6">
      <w:pPr>
        <w:autoSpaceDE w:val="0"/>
        <w:autoSpaceDN w:val="0"/>
        <w:adjustRightInd w:val="0"/>
        <w:rPr>
          <w:rFonts w:eastAsiaTheme="minorHAnsi"/>
          <w:lang w:eastAsia="en-US"/>
        </w:rPr>
      </w:pPr>
      <w:r w:rsidRPr="006D3E66">
        <w:rPr>
          <w:rFonts w:eastAsiaTheme="minorHAnsi"/>
          <w:lang w:eastAsia="en-US"/>
        </w:rPr>
        <w:t>e</w:t>
      </w:r>
      <w:r w:rsidR="002D1FDE" w:rsidRPr="006D3E66">
        <w:rPr>
          <w:rFonts w:eastAsiaTheme="minorHAnsi"/>
          <w:lang w:eastAsia="en-US"/>
        </w:rPr>
        <w:t>) Yönetmelik: Elektrik Piyasası Bağlantı ve Sistem Kullanım Yönetmeliğini,</w:t>
      </w:r>
    </w:p>
    <w:p w:rsidR="002D1FDE" w:rsidRPr="006D3E66" w:rsidRDefault="002D1FDE" w:rsidP="007D57B6">
      <w:pPr>
        <w:autoSpaceDE w:val="0"/>
        <w:autoSpaceDN w:val="0"/>
        <w:adjustRightInd w:val="0"/>
        <w:rPr>
          <w:rFonts w:eastAsiaTheme="minorHAnsi"/>
          <w:lang w:eastAsia="en-US"/>
        </w:rPr>
      </w:pPr>
      <w:r w:rsidRPr="006D3E66">
        <w:rPr>
          <w:rFonts w:eastAsiaTheme="minorHAnsi"/>
          <w:lang w:eastAsia="en-US"/>
        </w:rPr>
        <w:t>ifade eder.</w:t>
      </w:r>
    </w:p>
    <w:p w:rsidR="002D1FDE" w:rsidRPr="006D3E66" w:rsidRDefault="002D1FDE" w:rsidP="007D57B6">
      <w:pPr>
        <w:autoSpaceDE w:val="0"/>
        <w:autoSpaceDN w:val="0"/>
        <w:adjustRightInd w:val="0"/>
        <w:rPr>
          <w:rFonts w:eastAsiaTheme="minorHAnsi"/>
          <w:lang w:eastAsia="en-US"/>
        </w:rPr>
      </w:pPr>
    </w:p>
    <w:p w:rsidR="002D1FDE" w:rsidRPr="006D3E66" w:rsidRDefault="002D1FDE" w:rsidP="007D57B6">
      <w:pPr>
        <w:rPr>
          <w:rFonts w:eastAsiaTheme="minorHAnsi"/>
          <w:b/>
          <w:bCs/>
          <w:lang w:eastAsia="en-US"/>
        </w:rPr>
      </w:pPr>
      <w:r w:rsidRPr="006D3E66">
        <w:rPr>
          <w:rFonts w:eastAsiaTheme="minorHAnsi"/>
          <w:lang w:eastAsia="en-US"/>
        </w:rPr>
        <w:t>(2) Bu Usul ve Esaslarda geçen diğer kavram ve kısaltmalar, ilgili mevzuattaki anlam ve kapsama haizdir</w:t>
      </w:r>
      <w:r w:rsidR="00A2025A" w:rsidRPr="006D3E66">
        <w:rPr>
          <w:rFonts w:eastAsiaTheme="minorHAnsi"/>
          <w:bCs/>
          <w:lang w:eastAsia="en-US"/>
        </w:rPr>
        <w:t>.</w:t>
      </w:r>
    </w:p>
    <w:p w:rsidR="00494A10" w:rsidRPr="006D3E66" w:rsidRDefault="00494A10" w:rsidP="007D57B6">
      <w:pPr>
        <w:rPr>
          <w:rFonts w:eastAsiaTheme="minorHAnsi"/>
          <w:b/>
          <w:bCs/>
          <w:lang w:eastAsia="en-US"/>
        </w:rPr>
      </w:pPr>
    </w:p>
    <w:p w:rsidR="002D1FDE" w:rsidRPr="006D3E66" w:rsidRDefault="00494A10" w:rsidP="007D57B6">
      <w:pPr>
        <w:rPr>
          <w:rFonts w:eastAsiaTheme="minorHAnsi"/>
          <w:b/>
          <w:bCs/>
          <w:lang w:eastAsia="en-US"/>
        </w:rPr>
      </w:pPr>
      <w:r w:rsidRPr="006D3E66">
        <w:rPr>
          <w:b/>
        </w:rPr>
        <w:t>Devre konu elektrik tesisleri</w:t>
      </w:r>
    </w:p>
    <w:p w:rsidR="002D1FDE" w:rsidRPr="006D3E66" w:rsidRDefault="002D1FDE" w:rsidP="007D57B6">
      <w:r w:rsidRPr="006D3E66">
        <w:rPr>
          <w:b/>
        </w:rPr>
        <w:t>MADDE 4 -</w:t>
      </w:r>
      <w:r w:rsidRPr="006D3E66">
        <w:t xml:space="preserve"> (1) Kullanıcı mülkiyetinde bulunan elektrik tesislerinden </w:t>
      </w:r>
      <w:r w:rsidR="00832426" w:rsidRPr="006D3E66">
        <w:t xml:space="preserve">Yönetmeliğin </w:t>
      </w:r>
      <w:r w:rsidRPr="006D3E66">
        <w:t>37 nci maddesinde belirtilen tesisler elektrik dağıtım şirketlerince devralınır.</w:t>
      </w:r>
    </w:p>
    <w:p w:rsidR="002D1FDE" w:rsidRPr="006D3E66" w:rsidRDefault="002D1FDE" w:rsidP="007D57B6">
      <w:pPr>
        <w:rPr>
          <w:b/>
        </w:rPr>
      </w:pPr>
    </w:p>
    <w:p w:rsidR="002D1FDE" w:rsidRPr="006D3E66" w:rsidRDefault="002D1FDE" w:rsidP="007D57B6">
      <w:pPr>
        <w:autoSpaceDE w:val="0"/>
        <w:autoSpaceDN w:val="0"/>
        <w:adjustRightInd w:val="0"/>
        <w:rPr>
          <w:rFonts w:eastAsiaTheme="minorHAnsi"/>
          <w:b/>
          <w:bCs/>
          <w:lang w:eastAsia="en-US"/>
        </w:rPr>
      </w:pPr>
      <w:r w:rsidRPr="006D3E66">
        <w:rPr>
          <w:rFonts w:eastAsiaTheme="minorHAnsi"/>
          <w:b/>
          <w:bCs/>
          <w:lang w:eastAsia="en-US"/>
        </w:rPr>
        <w:t>Devre konu elektrik tesislerinin devralınması</w:t>
      </w:r>
    </w:p>
    <w:p w:rsidR="002D1FDE" w:rsidRPr="006D3E66" w:rsidRDefault="002D1FDE" w:rsidP="007D57B6">
      <w:pPr>
        <w:autoSpaceDE w:val="0"/>
        <w:autoSpaceDN w:val="0"/>
        <w:adjustRightInd w:val="0"/>
        <w:rPr>
          <w:rFonts w:eastAsiaTheme="minorHAnsi"/>
          <w:lang w:eastAsia="en-US"/>
        </w:rPr>
      </w:pPr>
      <w:r w:rsidRPr="006D3E66">
        <w:rPr>
          <w:rFonts w:eastAsiaTheme="minorHAnsi"/>
          <w:b/>
          <w:bCs/>
          <w:lang w:eastAsia="en-US"/>
        </w:rPr>
        <w:t xml:space="preserve">MADDE 5 - </w:t>
      </w:r>
      <w:r w:rsidRPr="006D3E66">
        <w:rPr>
          <w:rFonts w:eastAsiaTheme="minorHAnsi"/>
          <w:lang w:eastAsia="en-US"/>
        </w:rPr>
        <w:t>(1) Bu usul ve esaslara konu elektrik tesislerinin dağıtım şirketlerince devir alınmasında öncelik sıralaması Yönetmeliğin 37 nci maddesinin birinci fıkrasında yer verilen sıraya göre yapılır.</w:t>
      </w:r>
    </w:p>
    <w:p w:rsidR="002D1FDE" w:rsidRPr="006D3E66" w:rsidRDefault="002D1FDE" w:rsidP="007D57B6">
      <w:pPr>
        <w:autoSpaceDE w:val="0"/>
        <w:autoSpaceDN w:val="0"/>
        <w:adjustRightInd w:val="0"/>
        <w:rPr>
          <w:rFonts w:eastAsiaTheme="minorHAnsi"/>
          <w:lang w:eastAsia="en-US"/>
        </w:rPr>
      </w:pPr>
    </w:p>
    <w:p w:rsidR="002D1FDE" w:rsidRPr="006D3E66" w:rsidRDefault="002D1FDE" w:rsidP="007D57B6">
      <w:pPr>
        <w:autoSpaceDE w:val="0"/>
        <w:autoSpaceDN w:val="0"/>
        <w:adjustRightInd w:val="0"/>
        <w:rPr>
          <w:rFonts w:eastAsiaTheme="minorHAnsi"/>
          <w:lang w:eastAsia="en-US"/>
        </w:rPr>
      </w:pPr>
      <w:r w:rsidRPr="006D3E66">
        <w:rPr>
          <w:rFonts w:eastAsiaTheme="minorHAnsi"/>
          <w:lang w:eastAsia="en-US"/>
        </w:rPr>
        <w:lastRenderedPageBreak/>
        <w:t>(2) Dağıtım şirketi devralınacak elektrik tesislerinin maliki veya maliklerine, bu usul ve esaslar çerçevesinde belirlenecek bedeller üzerinden tesisleri anlaşma yoluyla devralmak istediğini bildirir. Söz konusu malik veya maliklerin talep etmeleri halinde iz bedelle veya bu usul ve esaslar çerçevesinde belirlenecek bedellerden daha düşük bir bedel üzerinden devir işlemleri gerçekleştirilebilir.</w:t>
      </w:r>
    </w:p>
    <w:p w:rsidR="002D1FDE" w:rsidRPr="006D3E66" w:rsidRDefault="002D1FDE" w:rsidP="007D57B6">
      <w:pPr>
        <w:autoSpaceDE w:val="0"/>
        <w:autoSpaceDN w:val="0"/>
        <w:adjustRightInd w:val="0"/>
        <w:rPr>
          <w:rFonts w:eastAsiaTheme="minorHAnsi"/>
          <w:lang w:eastAsia="en-US"/>
        </w:rPr>
      </w:pPr>
    </w:p>
    <w:p w:rsidR="001E626B" w:rsidRPr="001E626B" w:rsidRDefault="001E626B" w:rsidP="001E626B">
      <w:pPr>
        <w:rPr>
          <w:rFonts w:eastAsia="Times New Roman"/>
        </w:rPr>
      </w:pPr>
      <w:r>
        <w:rPr>
          <w:bCs/>
        </w:rPr>
        <w:t>(3)</w:t>
      </w:r>
      <w:r>
        <w:rPr>
          <w:rStyle w:val="DipnotBavurusu"/>
        </w:rPr>
        <w:footnoteReference w:id="1"/>
      </w:r>
      <w:r>
        <w:t xml:space="preserve"> </w:t>
      </w:r>
      <w:r>
        <w:rPr>
          <w:bCs/>
        </w:rPr>
        <w:t xml:space="preserve">Malik/malikler veya yetkili temsilci tarafından bu usul ve esaslar çerçevesinde belirlenen bedeller üzerinden tesislerin devrine rıza gösterilmesi halinde anlaşmaya ilişkin bir tutanak düzenlenir ve devre ilişkin işlemlerin tamamlanması halinde devir bedeli tarife yılı içerisinde def’aten ödenir. </w:t>
      </w:r>
      <w:r>
        <w:rPr>
          <w:rFonts w:eastAsia="Times New Roman"/>
        </w:rPr>
        <w:t>Söz konusu tesisinin bulunduğu yerlere ilişkin kamu yararı, irtifak hakkı tesisi veya devir kararının veya orman kesin ve/veya ön izin belgesinin alınmamış olması halinde geri ödeme, bu kararların ve/veya ilgili resmi izinlerin alındığı yılı takip eden yıl içerisinde yapılır</w:t>
      </w:r>
      <w:r>
        <w:t xml:space="preserve">. </w:t>
      </w:r>
      <w:r>
        <w:rPr>
          <w:bCs/>
        </w:rPr>
        <w:t xml:space="preserve"> Bu durumda, devir bedeli devre konu tesisin dağıtım şirketi tarafından kullanılmaya başlandığı tarihten ilgili kararların ve/veya resmi izinlerin alındığı tarihe kadar Tüketici Fiyat Endeksi oranında güncellenir.</w:t>
      </w:r>
    </w:p>
    <w:p w:rsidR="002D1FDE" w:rsidRPr="006D3E66" w:rsidRDefault="002D1FDE" w:rsidP="007D57B6">
      <w:pPr>
        <w:rPr>
          <w:b/>
        </w:rPr>
      </w:pPr>
    </w:p>
    <w:p w:rsidR="002D1FDE" w:rsidRPr="006D3E66" w:rsidRDefault="007D57B6" w:rsidP="007D57B6">
      <w:pPr>
        <w:autoSpaceDE w:val="0"/>
        <w:autoSpaceDN w:val="0"/>
        <w:adjustRightInd w:val="0"/>
        <w:rPr>
          <w:b/>
          <w:color w:val="000000" w:themeColor="text1"/>
        </w:rPr>
      </w:pPr>
      <w:r w:rsidRPr="006D3E66">
        <w:rPr>
          <w:rFonts w:eastAsiaTheme="minorHAnsi"/>
          <w:lang w:eastAsia="en-US"/>
        </w:rPr>
        <w:t>(</w:t>
      </w:r>
      <w:r w:rsidR="002D1FDE" w:rsidRPr="006D3E66">
        <w:rPr>
          <w:rFonts w:eastAsiaTheme="minorHAnsi"/>
          <w:lang w:eastAsia="en-US"/>
        </w:rPr>
        <w:t>4) Devre konu elektrik tesisinin bulunduğu taşınmazların kamulaştırma işlemleri dağıtım tesislerinin kamulaştırılmasında uygulanan usuller uyarınca gerçekleştirilir.</w:t>
      </w:r>
    </w:p>
    <w:p w:rsidR="002D1FDE" w:rsidRPr="006D3E66" w:rsidRDefault="002D1FDE" w:rsidP="007D57B6">
      <w:pPr>
        <w:rPr>
          <w:b/>
          <w:sz w:val="32"/>
          <w:szCs w:val="32"/>
        </w:rPr>
      </w:pPr>
    </w:p>
    <w:p w:rsidR="002D1FDE" w:rsidRPr="006D3E66" w:rsidRDefault="002D1FDE" w:rsidP="007D57B6">
      <w:pPr>
        <w:autoSpaceDE w:val="0"/>
        <w:autoSpaceDN w:val="0"/>
        <w:adjustRightInd w:val="0"/>
        <w:rPr>
          <w:rFonts w:eastAsiaTheme="minorHAnsi"/>
          <w:lang w:eastAsia="en-US"/>
        </w:rPr>
      </w:pPr>
      <w:r w:rsidRPr="006D3E66">
        <w:rPr>
          <w:rFonts w:eastAsiaTheme="minorHAnsi"/>
          <w:lang w:eastAsia="en-US"/>
        </w:rPr>
        <w:t xml:space="preserve">(5) Devralınacak tesisin </w:t>
      </w:r>
      <w:r w:rsidRPr="006D3E66">
        <w:rPr>
          <w:rFonts w:eastAsia="ヒラギノ明朝 Pro W3"/>
          <w:szCs w:val="18"/>
        </w:rPr>
        <w:t>yeni bir bağlantı kapsamında ortak kullanıma konu olacak dağıtım tesisi veya yeni bağlantı sebebiyle dağıtım tesisi kapsamına girecek bir tesis</w:t>
      </w:r>
      <w:r w:rsidRPr="006D3E66">
        <w:rPr>
          <w:rFonts w:eastAsiaTheme="minorHAnsi"/>
          <w:sz w:val="30"/>
          <w:lang w:eastAsia="en-US"/>
        </w:rPr>
        <w:t xml:space="preserve"> </w:t>
      </w:r>
      <w:r w:rsidRPr="006D3E66">
        <w:rPr>
          <w:rFonts w:eastAsiaTheme="minorHAnsi"/>
          <w:lang w:eastAsia="en-US"/>
        </w:rPr>
        <w:t>olması halinde; bağlantı talebinde bulunan yeni kullanıcının bağlantı işlemleri, devir işlemlerinin başlaması ile birlikte ilgili elektrik tesislerinin devrinin tamamlanması beklenmeksizin gerçekleştirilir. Devre rıza gösterilmesi halinde;</w:t>
      </w:r>
      <w:r w:rsidRPr="006D3E66">
        <w:t xml:space="preserve"> ikinci fıkrada belirtilen bildirim işleminin yapılması</w:t>
      </w:r>
      <w:r w:rsidRPr="006D3E66">
        <w:rPr>
          <w:rFonts w:eastAsiaTheme="minorHAnsi"/>
          <w:lang w:eastAsia="en-US"/>
        </w:rPr>
        <w:t xml:space="preserve"> devir işlemlerinin başlanması olarak kabul edilir. Devre rıza gösterilmemesi halinde ise; kamulaştırma işlemleri için dağıtım şirketi tarafından kamulaştırma sürecinde ilgili kamu kurumuna yapılan ilk resmi başvuru başlangıç olarak esas alınır.</w:t>
      </w:r>
    </w:p>
    <w:p w:rsidR="002D1FDE" w:rsidRPr="006D3E66" w:rsidRDefault="002D1FDE" w:rsidP="007D57B6">
      <w:pPr>
        <w:rPr>
          <w:b/>
          <w:sz w:val="32"/>
          <w:szCs w:val="32"/>
        </w:rPr>
      </w:pPr>
    </w:p>
    <w:p w:rsidR="002D1FDE" w:rsidRPr="006D3E66" w:rsidRDefault="002D1FDE" w:rsidP="007D57B6">
      <w:pPr>
        <w:autoSpaceDE w:val="0"/>
        <w:autoSpaceDN w:val="0"/>
        <w:adjustRightInd w:val="0"/>
        <w:rPr>
          <w:rFonts w:eastAsiaTheme="minorHAnsi"/>
          <w:b/>
          <w:bCs/>
          <w:lang w:eastAsia="en-US"/>
        </w:rPr>
      </w:pPr>
      <w:r w:rsidRPr="006D3E66">
        <w:rPr>
          <w:rFonts w:eastAsiaTheme="minorHAnsi"/>
          <w:b/>
          <w:bCs/>
          <w:lang w:eastAsia="en-US"/>
        </w:rPr>
        <w:t>Bağlantı anlaşmalarının revize edilmesi</w:t>
      </w:r>
    </w:p>
    <w:p w:rsidR="002D1FDE" w:rsidRPr="006D3E66" w:rsidRDefault="002D1FDE" w:rsidP="007D57B6">
      <w:pPr>
        <w:autoSpaceDE w:val="0"/>
        <w:autoSpaceDN w:val="0"/>
        <w:adjustRightInd w:val="0"/>
        <w:rPr>
          <w:rFonts w:eastAsiaTheme="minorHAnsi"/>
          <w:lang w:eastAsia="en-US"/>
        </w:rPr>
      </w:pPr>
      <w:r w:rsidRPr="006D3E66">
        <w:rPr>
          <w:rFonts w:eastAsiaTheme="minorHAnsi"/>
          <w:b/>
          <w:bCs/>
          <w:lang w:eastAsia="en-US"/>
        </w:rPr>
        <w:t xml:space="preserve">MADDE 6 - </w:t>
      </w:r>
      <w:r w:rsidRPr="006D3E66">
        <w:rPr>
          <w:rFonts w:eastAsiaTheme="minorHAnsi"/>
          <w:lang w:eastAsia="en-US"/>
        </w:rPr>
        <w:t>(1) Dağıtım şirketi, ilgili bağlantı anlaşmalarını devir işlemlerinin tamamlanması ile birlikte yeni bağlantı noktalarına göre revize eder.</w:t>
      </w:r>
    </w:p>
    <w:p w:rsidR="00A14930" w:rsidRPr="006D3E66" w:rsidRDefault="00250A55" w:rsidP="007D57B6"/>
    <w:p w:rsidR="002D1FDE" w:rsidRPr="006D3E66" w:rsidRDefault="002D1FDE" w:rsidP="007D57B6">
      <w:pPr>
        <w:autoSpaceDE w:val="0"/>
        <w:autoSpaceDN w:val="0"/>
        <w:adjustRightInd w:val="0"/>
        <w:rPr>
          <w:rFonts w:eastAsiaTheme="minorHAnsi"/>
          <w:b/>
          <w:bCs/>
          <w:lang w:eastAsia="en-US"/>
        </w:rPr>
      </w:pPr>
      <w:r w:rsidRPr="006D3E66">
        <w:rPr>
          <w:rFonts w:eastAsiaTheme="minorHAnsi"/>
          <w:b/>
          <w:bCs/>
          <w:lang w:eastAsia="en-US"/>
        </w:rPr>
        <w:t>Genel esaslar</w:t>
      </w:r>
    </w:p>
    <w:p w:rsidR="002D1FDE" w:rsidRPr="006D3E66" w:rsidRDefault="002D1FDE" w:rsidP="007D57B6">
      <w:pPr>
        <w:autoSpaceDE w:val="0"/>
        <w:autoSpaceDN w:val="0"/>
        <w:adjustRightInd w:val="0"/>
        <w:rPr>
          <w:rFonts w:eastAsiaTheme="minorHAnsi"/>
          <w:lang w:eastAsia="en-US"/>
        </w:rPr>
      </w:pPr>
      <w:r w:rsidRPr="006D3E66">
        <w:rPr>
          <w:rFonts w:eastAsiaTheme="minorHAnsi"/>
          <w:b/>
          <w:bCs/>
          <w:lang w:eastAsia="en-US"/>
        </w:rPr>
        <w:t xml:space="preserve">MADDE 7 - </w:t>
      </w:r>
      <w:r w:rsidRPr="006D3E66">
        <w:rPr>
          <w:rFonts w:eastAsiaTheme="minorHAnsi"/>
          <w:lang w:eastAsia="en-US"/>
        </w:rPr>
        <w:t>(1) Devir tarihi itibariyle, devre konu elektrik tesislerinin enerjilendirme</w:t>
      </w:r>
      <w:r w:rsidRPr="006D3E66">
        <w:t xml:space="preserve"> veya geçici kabul</w:t>
      </w:r>
      <w:r w:rsidRPr="006D3E66">
        <w:rPr>
          <w:rFonts w:eastAsiaTheme="minorHAnsi"/>
          <w:lang w:eastAsia="en-US"/>
        </w:rPr>
        <w:t xml:space="preserve"> tarihlerinden</w:t>
      </w:r>
      <w:r w:rsidRPr="006D3E66">
        <w:t>, bu tarihlerin bilinememesi halinde bağlantı anlaşması imza tarihinden</w:t>
      </w:r>
      <w:r w:rsidR="007D57B6" w:rsidRPr="006D3E66">
        <w:rPr>
          <w:rFonts w:eastAsiaTheme="minorHAnsi"/>
          <w:lang w:eastAsia="en-US"/>
        </w:rPr>
        <w:t xml:space="preserve"> itibaren 3</w:t>
      </w:r>
      <w:r w:rsidRPr="006D3E66">
        <w:rPr>
          <w:rFonts w:eastAsiaTheme="minorHAnsi"/>
          <w:lang w:eastAsia="en-US"/>
        </w:rPr>
        <w:t>0 (o</w:t>
      </w:r>
      <w:r w:rsidR="007D57B6" w:rsidRPr="006D3E66">
        <w:rPr>
          <w:rFonts w:eastAsiaTheme="minorHAnsi"/>
          <w:lang w:eastAsia="en-US"/>
        </w:rPr>
        <w:t>tuz</w:t>
      </w:r>
      <w:r w:rsidRPr="006D3E66">
        <w:rPr>
          <w:rFonts w:eastAsiaTheme="minorHAnsi"/>
          <w:lang w:eastAsia="en-US"/>
        </w:rPr>
        <w:t>) yıl geçmiş olması halinde söz konusu tesisler doğrudan işletme ve bakım karşılığı iz bedel üzerinden elektrik dağıtım şirketine devredilir</w:t>
      </w:r>
      <w:r w:rsidRPr="006D3E66">
        <w:t xml:space="preserve"> ve tesis malik/maliklerine yazılı olarak bildirimde bulunulur</w:t>
      </w:r>
      <w:r w:rsidRPr="006D3E66">
        <w:rPr>
          <w:rFonts w:eastAsiaTheme="minorHAnsi"/>
          <w:lang w:eastAsia="en-US"/>
        </w:rPr>
        <w:t>.</w:t>
      </w:r>
    </w:p>
    <w:p w:rsidR="002D1FDE" w:rsidRPr="006D3E66" w:rsidRDefault="002D1FDE" w:rsidP="007D57B6"/>
    <w:p w:rsidR="002D1FDE" w:rsidRPr="006D3E66" w:rsidRDefault="002D1FDE" w:rsidP="007D57B6">
      <w:pPr>
        <w:autoSpaceDE w:val="0"/>
        <w:autoSpaceDN w:val="0"/>
        <w:adjustRightInd w:val="0"/>
        <w:rPr>
          <w:rFonts w:eastAsiaTheme="minorHAnsi"/>
          <w:b/>
          <w:bCs/>
          <w:lang w:eastAsia="en-US"/>
        </w:rPr>
      </w:pPr>
      <w:r w:rsidRPr="006D3E66">
        <w:rPr>
          <w:rFonts w:eastAsiaTheme="minorHAnsi"/>
          <w:b/>
          <w:bCs/>
          <w:lang w:eastAsia="en-US"/>
        </w:rPr>
        <w:t>Devralınacak elektrik tesisinin bedelinin hesaplanması</w:t>
      </w:r>
    </w:p>
    <w:p w:rsidR="002D1FDE" w:rsidRPr="006D3E66" w:rsidRDefault="002D1FDE" w:rsidP="007D57B6">
      <w:pPr>
        <w:autoSpaceDE w:val="0"/>
        <w:autoSpaceDN w:val="0"/>
        <w:adjustRightInd w:val="0"/>
        <w:rPr>
          <w:rFonts w:eastAsiaTheme="minorHAnsi"/>
          <w:lang w:eastAsia="en-US"/>
        </w:rPr>
      </w:pPr>
      <w:r w:rsidRPr="006D3E66">
        <w:rPr>
          <w:rFonts w:eastAsiaTheme="minorHAnsi"/>
          <w:b/>
          <w:bCs/>
          <w:lang w:eastAsia="en-US"/>
        </w:rPr>
        <w:lastRenderedPageBreak/>
        <w:t xml:space="preserve">MADDE 8 - </w:t>
      </w:r>
      <w:r w:rsidRPr="006D3E66">
        <w:rPr>
          <w:rFonts w:eastAsiaTheme="minorHAnsi"/>
          <w:lang w:eastAsia="en-US"/>
        </w:rPr>
        <w:t>(1) Devre konu tesisin bedelinin hesaplanmasında aşağıdaki sıraya göre işlem yapılır:</w:t>
      </w:r>
    </w:p>
    <w:p w:rsidR="002D1FDE" w:rsidRPr="006D3E66" w:rsidRDefault="002D1FDE" w:rsidP="007D57B6">
      <w:pPr>
        <w:autoSpaceDE w:val="0"/>
        <w:autoSpaceDN w:val="0"/>
        <w:adjustRightInd w:val="0"/>
        <w:rPr>
          <w:rFonts w:eastAsiaTheme="minorHAnsi"/>
          <w:lang w:eastAsia="en-US"/>
        </w:rPr>
      </w:pPr>
      <w:r w:rsidRPr="006D3E66">
        <w:rPr>
          <w:rFonts w:eastAsiaTheme="minorHAnsi"/>
          <w:lang w:eastAsia="en-US"/>
        </w:rPr>
        <w:t>a) Devre konu elektrik tesisi öncelikli olarak maliklerine göre kısımlara ayrılır.</w:t>
      </w:r>
    </w:p>
    <w:p w:rsidR="002D1FDE" w:rsidRPr="006D3E66" w:rsidRDefault="002D1FDE" w:rsidP="007D57B6">
      <w:pPr>
        <w:autoSpaceDE w:val="0"/>
        <w:autoSpaceDN w:val="0"/>
        <w:adjustRightInd w:val="0"/>
        <w:rPr>
          <w:rFonts w:eastAsiaTheme="minorHAnsi"/>
          <w:lang w:eastAsia="en-US"/>
        </w:rPr>
      </w:pPr>
      <w:r w:rsidRPr="006D3E66">
        <w:rPr>
          <w:rFonts w:eastAsiaTheme="minorHAnsi"/>
          <w:lang w:eastAsia="en-US"/>
        </w:rPr>
        <w:t xml:space="preserve">b) </w:t>
      </w:r>
      <w:r w:rsidRPr="006D3E66">
        <w:t>Dağıtım şirketi tarafından devir alma talebinin yapıldığı d</w:t>
      </w:r>
      <w:r w:rsidRPr="006D3E66">
        <w:rPr>
          <w:rFonts w:eastAsiaTheme="minorHAnsi"/>
          <w:lang w:eastAsia="en-US"/>
        </w:rPr>
        <w:t>evre konu yıl için Yönetmeliğin 21 inci maddesi kapsamındaki metodoloji uyarınca belirlenen birim bedellere göre devre konu tesisin her bir kısmının cari yıl (devir talep yılı) içinde yapılmış olması varsayımındaki değeri hesaplanır.</w:t>
      </w:r>
    </w:p>
    <w:p w:rsidR="002D1FDE" w:rsidRPr="006D3E66" w:rsidRDefault="002D1FDE" w:rsidP="007D57B6">
      <w:pPr>
        <w:autoSpaceDE w:val="0"/>
        <w:autoSpaceDN w:val="0"/>
        <w:adjustRightInd w:val="0"/>
        <w:rPr>
          <w:rFonts w:eastAsiaTheme="minorHAnsi"/>
          <w:lang w:eastAsia="en-US"/>
        </w:rPr>
      </w:pPr>
      <w:r w:rsidRPr="006D3E66">
        <w:rPr>
          <w:rFonts w:eastAsiaTheme="minorHAnsi"/>
          <w:lang w:eastAsia="en-US"/>
        </w:rPr>
        <w:t>c) Devre konu tesisin ilgili kısmı için ödenecek toplam devir bedeli aşağıdaki formüle göre hesaplanır:</w:t>
      </w:r>
    </w:p>
    <w:p w:rsidR="002D1FDE" w:rsidRPr="006D3E66" w:rsidRDefault="00250A55" w:rsidP="007D57B6">
      <w:pPr>
        <w:autoSpaceDE w:val="0"/>
        <w:autoSpaceDN w:val="0"/>
        <w:adjustRightInd w:val="0"/>
        <w:rPr>
          <w:rFonts w:eastAsia="CambriaMath"/>
          <w:szCs w:val="29"/>
          <w:lang w:eastAsia="en-US"/>
        </w:rPr>
      </w:pPr>
      <m:oMathPara>
        <m:oMath>
          <m:sSub>
            <m:sSubPr>
              <m:ctrlPr>
                <w:rPr>
                  <w:rFonts w:ascii="Cambria Math" w:eastAsia="CambriaMath" w:hAnsi="Cambria Math"/>
                  <w:szCs w:val="29"/>
                  <w:lang w:eastAsia="en-US"/>
                </w:rPr>
              </m:ctrlPr>
            </m:sSubPr>
            <m:e>
              <m:r>
                <m:rPr>
                  <m:sty m:val="p"/>
                </m:rPr>
                <w:rPr>
                  <w:rFonts w:ascii="Cambria Math" w:eastAsia="CambriaMath" w:hAnsi="Cambria Math"/>
                  <w:szCs w:val="29"/>
                  <w:lang w:eastAsia="en-US"/>
                </w:rPr>
                <m:t>TDB</m:t>
              </m:r>
            </m:e>
            <m:sub>
              <m:r>
                <m:rPr>
                  <m:sty m:val="p"/>
                </m:rPr>
                <w:rPr>
                  <w:rFonts w:ascii="Cambria Math" w:eastAsia="CambriaMath" w:hAnsi="Cambria Math"/>
                  <w:szCs w:val="29"/>
                  <w:lang w:eastAsia="en-US"/>
                </w:rPr>
                <m:t>t,k</m:t>
              </m:r>
            </m:sub>
          </m:sSub>
          <m:r>
            <m:rPr>
              <m:sty m:val="p"/>
            </m:rPr>
            <w:rPr>
              <w:rFonts w:ascii="Cambria Math" w:eastAsia="CambriaMath" w:hAnsi="Cambria Math"/>
              <w:szCs w:val="29"/>
              <w:lang w:eastAsia="en-US"/>
            </w:rPr>
            <m:t>=</m:t>
          </m:r>
          <m:sSub>
            <m:sSubPr>
              <m:ctrlPr>
                <w:rPr>
                  <w:rFonts w:ascii="Cambria Math" w:eastAsia="CambriaMath" w:hAnsi="Cambria Math"/>
                  <w:szCs w:val="29"/>
                  <w:lang w:eastAsia="en-US"/>
                </w:rPr>
              </m:ctrlPr>
            </m:sSubPr>
            <m:e>
              <m:r>
                <m:rPr>
                  <m:sty m:val="p"/>
                </m:rPr>
                <w:rPr>
                  <w:rFonts w:ascii="Cambria Math" w:eastAsia="CambriaMath" w:hAnsi="Cambria Math"/>
                  <w:szCs w:val="29"/>
                  <w:lang w:eastAsia="en-US"/>
                </w:rPr>
                <m:t>CTB</m:t>
              </m:r>
            </m:e>
            <m:sub>
              <m:r>
                <m:rPr>
                  <m:sty m:val="p"/>
                </m:rPr>
                <w:rPr>
                  <w:rFonts w:ascii="Cambria Math" w:eastAsia="CambriaMath" w:hAnsi="Cambria Math"/>
                  <w:szCs w:val="29"/>
                  <w:lang w:eastAsia="en-US"/>
                </w:rPr>
                <m:t xml:space="preserve">t,k </m:t>
              </m:r>
            </m:sub>
          </m:sSub>
          <m:r>
            <m:rPr>
              <m:sty m:val="p"/>
            </m:rPr>
            <w:rPr>
              <w:rFonts w:ascii="Cambria Math" w:eastAsia="CambriaMath" w:hAnsi="Cambria Math"/>
              <w:szCs w:val="29"/>
              <w:lang w:eastAsia="en-US"/>
            </w:rPr>
            <m:t xml:space="preserve">× </m:t>
          </m:r>
          <m:d>
            <m:dPr>
              <m:ctrlPr>
                <w:rPr>
                  <w:rFonts w:ascii="Cambria Math" w:eastAsia="CambriaMath" w:hAnsi="Cambria Math"/>
                  <w:szCs w:val="29"/>
                  <w:lang w:eastAsia="en-US"/>
                </w:rPr>
              </m:ctrlPr>
            </m:dPr>
            <m:e>
              <m:r>
                <m:rPr>
                  <m:sty m:val="p"/>
                </m:rPr>
                <w:rPr>
                  <w:rFonts w:ascii="Cambria Math" w:eastAsia="CambriaMath" w:hAnsi="Cambria Math"/>
                  <w:szCs w:val="29"/>
                  <w:lang w:eastAsia="en-US"/>
                </w:rPr>
                <m:t>1-</m:t>
              </m:r>
              <m:d>
                <m:dPr>
                  <m:ctrlPr>
                    <w:rPr>
                      <w:rFonts w:ascii="Cambria Math" w:eastAsia="CambriaMath" w:hAnsi="Cambria Math"/>
                      <w:szCs w:val="29"/>
                      <w:lang w:eastAsia="en-US"/>
                    </w:rPr>
                  </m:ctrlPr>
                </m:dPr>
                <m:e>
                  <m:f>
                    <m:fPr>
                      <m:ctrlPr>
                        <w:rPr>
                          <w:rFonts w:ascii="Cambria Math" w:eastAsia="CambriaMath" w:hAnsi="Cambria Math"/>
                          <w:szCs w:val="29"/>
                          <w:lang w:eastAsia="en-US"/>
                        </w:rPr>
                      </m:ctrlPr>
                    </m:fPr>
                    <m:num>
                      <m:r>
                        <w:rPr>
                          <w:rFonts w:ascii="Cambria Math" w:eastAsia="CambriaMath" w:hAnsi="Cambria Math"/>
                          <w:szCs w:val="29"/>
                          <w:lang w:eastAsia="en-US"/>
                        </w:rPr>
                        <m:t>n</m:t>
                      </m:r>
                    </m:num>
                    <m:den>
                      <m:r>
                        <w:rPr>
                          <w:rFonts w:ascii="Cambria Math" w:eastAsia="CambriaMath" w:hAnsi="Cambria Math"/>
                          <w:szCs w:val="29"/>
                          <w:lang w:eastAsia="en-US"/>
                        </w:rPr>
                        <m:t>30</m:t>
                      </m:r>
                    </m:den>
                  </m:f>
                </m:e>
              </m:d>
            </m:e>
          </m:d>
        </m:oMath>
      </m:oMathPara>
    </w:p>
    <w:p w:rsidR="002D1FDE" w:rsidRPr="006D3E66" w:rsidRDefault="002D1FDE" w:rsidP="007D57B6">
      <w:pPr>
        <w:autoSpaceDE w:val="0"/>
        <w:autoSpaceDN w:val="0"/>
        <w:adjustRightInd w:val="0"/>
        <w:rPr>
          <w:rFonts w:eastAsiaTheme="minorHAnsi"/>
          <w:lang w:eastAsia="en-US"/>
        </w:rPr>
      </w:pPr>
      <w:r w:rsidRPr="006D3E66">
        <w:rPr>
          <w:rFonts w:eastAsiaTheme="minorHAnsi"/>
          <w:lang w:eastAsia="en-US"/>
        </w:rPr>
        <w:t>Bu formülde geçen,</w:t>
      </w:r>
    </w:p>
    <w:p w:rsidR="00F22ADF" w:rsidRPr="006D3E66" w:rsidRDefault="00250A55" w:rsidP="007D57B6">
      <w:pPr>
        <w:autoSpaceDE w:val="0"/>
        <w:autoSpaceDN w:val="0"/>
        <w:adjustRightInd w:val="0"/>
        <w:rPr>
          <w:rFonts w:eastAsiaTheme="minorHAnsi"/>
          <w:lang w:eastAsia="en-US"/>
        </w:rPr>
      </w:pPr>
      <m:oMath>
        <m:sSub>
          <m:sSubPr>
            <m:ctrlPr>
              <w:rPr>
                <w:rFonts w:ascii="Cambria Math" w:eastAsia="CambriaMath" w:hAnsi="Cambria Math"/>
                <w:szCs w:val="29"/>
                <w:lang w:eastAsia="en-US"/>
              </w:rPr>
            </m:ctrlPr>
          </m:sSubPr>
          <m:e>
            <m:r>
              <m:rPr>
                <m:sty m:val="p"/>
              </m:rPr>
              <w:rPr>
                <w:rFonts w:ascii="Cambria Math" w:eastAsia="CambriaMath" w:hAnsi="Cambria Math"/>
                <w:szCs w:val="29"/>
                <w:lang w:eastAsia="en-US"/>
              </w:rPr>
              <m:t>TDB</m:t>
            </m:r>
          </m:e>
          <m:sub>
            <m:r>
              <m:rPr>
                <m:sty m:val="p"/>
              </m:rPr>
              <w:rPr>
                <w:rFonts w:ascii="Cambria Math" w:eastAsia="CambriaMath" w:hAnsi="Cambria Math"/>
                <w:szCs w:val="29"/>
                <w:lang w:eastAsia="en-US"/>
              </w:rPr>
              <m:t xml:space="preserve">t,k </m:t>
            </m:r>
          </m:sub>
        </m:sSub>
        <m:r>
          <w:rPr>
            <w:rFonts w:ascii="Cambria Math" w:eastAsiaTheme="minorEastAsia" w:hAnsi="Cambria Math"/>
            <w:szCs w:val="29"/>
            <w:lang w:eastAsia="en-US"/>
          </w:rPr>
          <m:t xml:space="preserve">  </m:t>
        </m:r>
      </m:oMath>
      <w:r w:rsidR="00E55017" w:rsidRPr="006D3E66">
        <w:rPr>
          <w:rFonts w:eastAsiaTheme="minorEastAsia"/>
          <w:i/>
          <w:szCs w:val="29"/>
          <w:lang w:eastAsia="en-US"/>
        </w:rPr>
        <w:tab/>
      </w:r>
      <w:r w:rsidR="00F22ADF" w:rsidRPr="006D3E66">
        <w:rPr>
          <w:rFonts w:eastAsiaTheme="minorEastAsia"/>
          <w:szCs w:val="29"/>
          <w:lang w:eastAsia="en-US"/>
        </w:rPr>
        <w:t>“</w:t>
      </w:r>
      <w:r w:rsidR="002D1FDE" w:rsidRPr="006D3E66">
        <w:rPr>
          <w:rFonts w:eastAsiaTheme="minorHAnsi"/>
          <w:iCs/>
          <w:lang w:eastAsia="en-US"/>
        </w:rPr>
        <w:t>t</w:t>
      </w:r>
      <w:r w:rsidR="00F22ADF" w:rsidRPr="006D3E66">
        <w:rPr>
          <w:rFonts w:eastAsiaTheme="minorHAnsi"/>
          <w:iCs/>
          <w:lang w:eastAsia="en-US"/>
        </w:rPr>
        <w:t>”</w:t>
      </w:r>
      <w:r w:rsidR="002D1FDE" w:rsidRPr="006D3E66">
        <w:rPr>
          <w:rFonts w:eastAsiaTheme="minorHAnsi"/>
          <w:i/>
          <w:iCs/>
          <w:lang w:eastAsia="en-US"/>
        </w:rPr>
        <w:t xml:space="preserve"> </w:t>
      </w:r>
      <w:r w:rsidR="002D1FDE" w:rsidRPr="006D3E66">
        <w:rPr>
          <w:rFonts w:eastAsiaTheme="minorHAnsi"/>
          <w:lang w:eastAsia="en-US"/>
        </w:rPr>
        <w:t xml:space="preserve">tesisinin </w:t>
      </w:r>
      <w:r w:rsidR="00F22ADF" w:rsidRPr="006D3E66">
        <w:rPr>
          <w:rFonts w:eastAsiaTheme="minorHAnsi"/>
          <w:lang w:eastAsia="en-US"/>
        </w:rPr>
        <w:t>“</w:t>
      </w:r>
      <w:r w:rsidR="002D1FDE" w:rsidRPr="006D3E66">
        <w:rPr>
          <w:rFonts w:eastAsiaTheme="minorHAnsi"/>
          <w:iCs/>
          <w:lang w:eastAsia="en-US"/>
        </w:rPr>
        <w:t>k</w:t>
      </w:r>
      <w:r w:rsidR="00F22ADF" w:rsidRPr="006D3E66">
        <w:rPr>
          <w:rFonts w:eastAsiaTheme="minorHAnsi"/>
          <w:iCs/>
          <w:lang w:eastAsia="en-US"/>
        </w:rPr>
        <w:t>”</w:t>
      </w:r>
      <w:r w:rsidR="002D1FDE" w:rsidRPr="006D3E66">
        <w:rPr>
          <w:rFonts w:eastAsiaTheme="minorHAnsi"/>
          <w:iCs/>
          <w:lang w:eastAsia="en-US"/>
        </w:rPr>
        <w:t xml:space="preserve"> </w:t>
      </w:r>
      <w:r w:rsidR="002D1FDE" w:rsidRPr="006D3E66">
        <w:rPr>
          <w:rFonts w:eastAsiaTheme="minorHAnsi"/>
          <w:lang w:eastAsia="en-US"/>
        </w:rPr>
        <w:t>kısmı için ödemeye esas toplam devir bedelini,</w:t>
      </w:r>
    </w:p>
    <w:p w:rsidR="002D1FDE" w:rsidRPr="006D3E66" w:rsidRDefault="00250A55" w:rsidP="007D57B6">
      <w:pPr>
        <w:autoSpaceDE w:val="0"/>
        <w:autoSpaceDN w:val="0"/>
        <w:adjustRightInd w:val="0"/>
        <w:rPr>
          <w:rFonts w:eastAsiaTheme="minorHAnsi"/>
          <w:lang w:eastAsia="en-US"/>
        </w:rPr>
      </w:pPr>
      <m:oMath>
        <m:sSub>
          <m:sSubPr>
            <m:ctrlPr>
              <w:rPr>
                <w:rFonts w:ascii="Cambria Math" w:eastAsia="CambriaMath" w:hAnsi="Cambria Math"/>
                <w:szCs w:val="29"/>
                <w:lang w:eastAsia="en-US"/>
              </w:rPr>
            </m:ctrlPr>
          </m:sSubPr>
          <m:e>
            <m:r>
              <m:rPr>
                <m:sty m:val="p"/>
              </m:rPr>
              <w:rPr>
                <w:rFonts w:ascii="Cambria Math" w:eastAsia="CambriaMath" w:hAnsi="Cambria Math"/>
                <w:szCs w:val="29"/>
                <w:lang w:eastAsia="en-US"/>
              </w:rPr>
              <m:t>CTB</m:t>
            </m:r>
          </m:e>
          <m:sub>
            <m:r>
              <m:rPr>
                <m:sty m:val="p"/>
              </m:rPr>
              <w:rPr>
                <w:rFonts w:ascii="Cambria Math" w:eastAsia="CambriaMath" w:hAnsi="Cambria Math"/>
                <w:szCs w:val="29"/>
                <w:lang w:eastAsia="en-US"/>
              </w:rPr>
              <m:t xml:space="preserve">t,k </m:t>
            </m:r>
          </m:sub>
        </m:sSub>
        <m:r>
          <w:rPr>
            <w:rFonts w:ascii="Cambria Math" w:eastAsia="CambriaMath" w:hAnsi="Cambria Math"/>
            <w:szCs w:val="29"/>
            <w:lang w:eastAsia="en-US"/>
          </w:rPr>
          <m:t xml:space="preserve"> </m:t>
        </m:r>
      </m:oMath>
      <w:r w:rsidR="00F22ADF" w:rsidRPr="006D3E66">
        <w:rPr>
          <w:rFonts w:eastAsiaTheme="minorEastAsia"/>
          <w:i/>
          <w:szCs w:val="29"/>
          <w:lang w:eastAsia="en-US"/>
        </w:rPr>
        <w:tab/>
      </w:r>
      <w:r w:rsidR="00E55017" w:rsidRPr="006D3E66">
        <w:rPr>
          <w:rFonts w:eastAsiaTheme="minorEastAsia"/>
          <w:szCs w:val="29"/>
          <w:lang w:eastAsia="en-US"/>
        </w:rPr>
        <w:t>“</w:t>
      </w:r>
      <w:r w:rsidR="002D1FDE" w:rsidRPr="006D3E66">
        <w:rPr>
          <w:rFonts w:eastAsiaTheme="minorHAnsi"/>
          <w:iCs/>
          <w:lang w:eastAsia="en-US"/>
        </w:rPr>
        <w:t>t</w:t>
      </w:r>
      <w:r w:rsidR="00E55017" w:rsidRPr="006D3E66">
        <w:rPr>
          <w:rFonts w:eastAsiaTheme="minorHAnsi"/>
          <w:iCs/>
          <w:lang w:eastAsia="en-US"/>
        </w:rPr>
        <w:t>”</w:t>
      </w:r>
      <w:r w:rsidR="002D1FDE" w:rsidRPr="006D3E66">
        <w:rPr>
          <w:rFonts w:eastAsiaTheme="minorHAnsi"/>
          <w:i/>
          <w:iCs/>
          <w:lang w:eastAsia="en-US"/>
        </w:rPr>
        <w:t xml:space="preserve"> </w:t>
      </w:r>
      <w:r w:rsidR="002D1FDE" w:rsidRPr="006D3E66">
        <w:rPr>
          <w:rFonts w:eastAsiaTheme="minorHAnsi"/>
          <w:lang w:eastAsia="en-US"/>
        </w:rPr>
        <w:t>tesisinin cari yıld</w:t>
      </w:r>
      <w:r w:rsidR="008711F0" w:rsidRPr="006D3E66">
        <w:rPr>
          <w:rFonts w:eastAsiaTheme="minorHAnsi"/>
          <w:lang w:eastAsia="en-US"/>
        </w:rPr>
        <w:t xml:space="preserve">a yapılmış olması varsayımıyla </w:t>
      </w:r>
      <w:r w:rsidR="002D1FDE" w:rsidRPr="006D3E66">
        <w:rPr>
          <w:rFonts w:eastAsiaTheme="minorHAnsi"/>
          <w:lang w:eastAsia="en-US"/>
        </w:rPr>
        <w:t xml:space="preserve">Birim bedeller kullanılarak </w:t>
      </w:r>
      <w:r w:rsidR="00832426" w:rsidRPr="006D3E66">
        <w:rPr>
          <w:rFonts w:eastAsiaTheme="minorHAnsi"/>
          <w:lang w:eastAsia="en-US"/>
        </w:rPr>
        <w:tab/>
      </w:r>
      <w:r w:rsidR="00832426" w:rsidRPr="006D3E66">
        <w:rPr>
          <w:rFonts w:eastAsiaTheme="minorHAnsi"/>
          <w:lang w:eastAsia="en-US"/>
        </w:rPr>
        <w:tab/>
      </w:r>
      <w:r w:rsidR="002D1FDE" w:rsidRPr="006D3E66">
        <w:rPr>
          <w:rFonts w:eastAsiaTheme="minorHAnsi"/>
          <w:lang w:eastAsia="en-US"/>
        </w:rPr>
        <w:t xml:space="preserve">tesisin </w:t>
      </w:r>
      <w:r w:rsidR="00E55017" w:rsidRPr="006D3E66">
        <w:rPr>
          <w:rFonts w:eastAsiaTheme="minorHAnsi"/>
          <w:lang w:eastAsia="en-US"/>
        </w:rPr>
        <w:t>“</w:t>
      </w:r>
      <w:r w:rsidR="002D1FDE" w:rsidRPr="006D3E66">
        <w:rPr>
          <w:rFonts w:eastAsiaTheme="minorHAnsi"/>
          <w:iCs/>
          <w:lang w:eastAsia="en-US"/>
        </w:rPr>
        <w:t>k</w:t>
      </w:r>
      <w:r w:rsidR="00E55017" w:rsidRPr="006D3E66">
        <w:rPr>
          <w:rFonts w:eastAsiaTheme="minorHAnsi"/>
          <w:iCs/>
          <w:lang w:eastAsia="en-US"/>
        </w:rPr>
        <w:t>”</w:t>
      </w:r>
      <w:r w:rsidR="002D1FDE" w:rsidRPr="006D3E66">
        <w:rPr>
          <w:rFonts w:eastAsiaTheme="minorHAnsi"/>
          <w:iCs/>
          <w:lang w:eastAsia="en-US"/>
        </w:rPr>
        <w:t xml:space="preserve"> </w:t>
      </w:r>
      <w:r w:rsidR="002D1FDE" w:rsidRPr="006D3E66">
        <w:rPr>
          <w:rFonts w:eastAsiaTheme="minorHAnsi"/>
          <w:lang w:eastAsia="en-US"/>
        </w:rPr>
        <w:t>kısmı için hesaplanan yapım bedelini,</w:t>
      </w:r>
    </w:p>
    <w:p w:rsidR="002D1FDE" w:rsidRPr="006D3E66" w:rsidRDefault="00E55017" w:rsidP="007D57B6">
      <w:pPr>
        <w:autoSpaceDE w:val="0"/>
        <w:autoSpaceDN w:val="0"/>
        <w:adjustRightInd w:val="0"/>
        <w:rPr>
          <w:rFonts w:eastAsiaTheme="minorHAnsi"/>
          <w:lang w:eastAsia="en-US"/>
        </w:rPr>
      </w:pPr>
      <m:oMath>
        <m:r>
          <m:rPr>
            <m:sty m:val="p"/>
          </m:rPr>
          <w:rPr>
            <w:rFonts w:ascii="Cambria Math" w:eastAsia="CambriaMath" w:hAnsi="Cambria Math"/>
            <w:szCs w:val="29"/>
            <w:lang w:eastAsia="en-US"/>
          </w:rPr>
          <m:t>n</m:t>
        </m:r>
      </m:oMath>
      <w:r w:rsidR="00F22ADF" w:rsidRPr="006D3E66">
        <w:rPr>
          <w:rFonts w:eastAsiaTheme="minorHAnsi"/>
          <w:lang w:eastAsia="en-US"/>
        </w:rPr>
        <w:tab/>
      </w:r>
      <w:r w:rsidR="00F22ADF" w:rsidRPr="006D3E66">
        <w:rPr>
          <w:rFonts w:eastAsiaTheme="minorHAnsi"/>
          <w:lang w:eastAsia="en-US"/>
        </w:rPr>
        <w:tab/>
      </w:r>
      <w:r w:rsidR="002D1FDE" w:rsidRPr="006D3E66">
        <w:rPr>
          <w:rFonts w:eastAsiaTheme="minorHAnsi"/>
          <w:lang w:eastAsia="en-US"/>
        </w:rPr>
        <w:t xml:space="preserve">Tesisin devir talebinin yapıldığı yıl ile tesis enerjilendirme tarihi arasındaki yıl </w:t>
      </w:r>
      <w:r w:rsidR="00832426" w:rsidRPr="006D3E66">
        <w:rPr>
          <w:rFonts w:eastAsiaTheme="minorHAnsi"/>
          <w:lang w:eastAsia="en-US"/>
        </w:rPr>
        <w:tab/>
      </w:r>
      <w:r w:rsidR="00832426" w:rsidRPr="006D3E66">
        <w:rPr>
          <w:rFonts w:eastAsiaTheme="minorHAnsi"/>
          <w:lang w:eastAsia="en-US"/>
        </w:rPr>
        <w:tab/>
      </w:r>
      <w:r w:rsidR="002D1FDE" w:rsidRPr="006D3E66">
        <w:rPr>
          <w:rFonts w:eastAsiaTheme="minorHAnsi"/>
          <w:lang w:eastAsia="en-US"/>
        </w:rPr>
        <w:t>sayısını,</w:t>
      </w:r>
    </w:p>
    <w:p w:rsidR="002D1FDE" w:rsidRPr="006D3E66" w:rsidRDefault="002D1FDE" w:rsidP="007D57B6">
      <w:pPr>
        <w:autoSpaceDE w:val="0"/>
        <w:autoSpaceDN w:val="0"/>
        <w:adjustRightInd w:val="0"/>
        <w:rPr>
          <w:rFonts w:eastAsiaTheme="minorHAnsi"/>
          <w:lang w:eastAsia="en-US"/>
        </w:rPr>
      </w:pPr>
      <w:r w:rsidRPr="006D3E66">
        <w:rPr>
          <w:rFonts w:eastAsiaTheme="minorHAnsi"/>
          <w:lang w:eastAsia="en-US"/>
        </w:rPr>
        <w:t>t</w:t>
      </w:r>
      <w:r w:rsidR="00F22ADF" w:rsidRPr="006D3E66">
        <w:rPr>
          <w:rFonts w:eastAsiaTheme="minorHAnsi"/>
          <w:lang w:eastAsia="en-US"/>
        </w:rPr>
        <w:tab/>
      </w:r>
      <w:r w:rsidR="00F22ADF" w:rsidRPr="006D3E66">
        <w:rPr>
          <w:rFonts w:eastAsiaTheme="minorHAnsi"/>
          <w:lang w:eastAsia="en-US"/>
        </w:rPr>
        <w:tab/>
      </w:r>
      <w:r w:rsidRPr="006D3E66">
        <w:rPr>
          <w:rFonts w:eastAsiaTheme="minorHAnsi"/>
          <w:lang w:eastAsia="en-US"/>
        </w:rPr>
        <w:t>Devre konu tesisi,</w:t>
      </w:r>
    </w:p>
    <w:p w:rsidR="002D1FDE" w:rsidRPr="006D3E66" w:rsidRDefault="002D1FDE" w:rsidP="007D57B6">
      <w:pPr>
        <w:autoSpaceDE w:val="0"/>
        <w:autoSpaceDN w:val="0"/>
        <w:adjustRightInd w:val="0"/>
        <w:rPr>
          <w:rFonts w:eastAsiaTheme="minorHAnsi"/>
          <w:lang w:eastAsia="en-US"/>
        </w:rPr>
      </w:pPr>
      <w:r w:rsidRPr="006D3E66">
        <w:rPr>
          <w:rFonts w:eastAsiaTheme="minorHAnsi"/>
          <w:lang w:eastAsia="en-US"/>
        </w:rPr>
        <w:t>k</w:t>
      </w:r>
      <w:r w:rsidR="00F22ADF" w:rsidRPr="006D3E66">
        <w:rPr>
          <w:rFonts w:eastAsiaTheme="minorHAnsi"/>
          <w:lang w:eastAsia="en-US"/>
        </w:rPr>
        <w:tab/>
      </w:r>
      <w:r w:rsidR="00F22ADF" w:rsidRPr="006D3E66">
        <w:rPr>
          <w:rFonts w:eastAsiaTheme="minorHAnsi"/>
          <w:lang w:eastAsia="en-US"/>
        </w:rPr>
        <w:tab/>
      </w:r>
      <w:r w:rsidRPr="006D3E66">
        <w:rPr>
          <w:rFonts w:eastAsiaTheme="minorHAnsi"/>
          <w:lang w:eastAsia="en-US"/>
        </w:rPr>
        <w:t>Devre konu tesisin maliklerine göre ayrılmış her bir kısmını</w:t>
      </w:r>
    </w:p>
    <w:p w:rsidR="002D1FDE" w:rsidRPr="006D3E66" w:rsidRDefault="002D1FDE" w:rsidP="007D57B6">
      <w:pPr>
        <w:autoSpaceDE w:val="0"/>
        <w:autoSpaceDN w:val="0"/>
        <w:adjustRightInd w:val="0"/>
        <w:rPr>
          <w:rFonts w:eastAsiaTheme="minorHAnsi"/>
          <w:lang w:eastAsia="en-US"/>
        </w:rPr>
      </w:pPr>
      <w:r w:rsidRPr="006D3E66">
        <w:rPr>
          <w:rFonts w:eastAsiaTheme="minorHAnsi"/>
          <w:lang w:eastAsia="en-US"/>
        </w:rPr>
        <w:t>ifade eder.</w:t>
      </w:r>
    </w:p>
    <w:p w:rsidR="00F9281C" w:rsidRPr="006D3E66" w:rsidRDefault="00F9281C" w:rsidP="007D57B6">
      <w:pPr>
        <w:autoSpaceDE w:val="0"/>
        <w:autoSpaceDN w:val="0"/>
        <w:adjustRightInd w:val="0"/>
        <w:rPr>
          <w:rFonts w:eastAsiaTheme="minorHAnsi"/>
          <w:lang w:eastAsia="en-US"/>
        </w:rPr>
      </w:pPr>
    </w:p>
    <w:p w:rsidR="00F9281C" w:rsidRPr="006D3E66" w:rsidRDefault="00F9281C" w:rsidP="007D57B6">
      <w:pPr>
        <w:autoSpaceDE w:val="0"/>
        <w:autoSpaceDN w:val="0"/>
        <w:adjustRightInd w:val="0"/>
        <w:rPr>
          <w:rFonts w:eastAsiaTheme="minorHAnsi"/>
          <w:lang w:eastAsia="en-US"/>
        </w:rPr>
      </w:pPr>
      <w:r w:rsidRPr="006D3E66">
        <w:rPr>
          <w:rFonts w:eastAsiaTheme="minorHAnsi"/>
          <w:lang w:eastAsia="en-US"/>
        </w:rPr>
        <w:t>(2) Devre konu tesisin kısımlara ayrılmasına karşın nihai olarak ilgili kısmın/kısımların birden fazla malikinin bulunması halinde, ilgili kısmın maliki konumundaki her bir kullanıcıya (malike) ödenecek tesis devir bedeli;</w:t>
      </w:r>
    </w:p>
    <w:p w:rsidR="00F9281C" w:rsidRPr="006D3E66" w:rsidRDefault="00250A55" w:rsidP="007D57B6">
      <w:pPr>
        <w:autoSpaceDE w:val="0"/>
        <w:autoSpaceDN w:val="0"/>
        <w:adjustRightInd w:val="0"/>
        <w:rPr>
          <w:rFonts w:eastAsia="CambriaMath"/>
          <w:szCs w:val="18"/>
          <w:lang w:eastAsia="en-US"/>
        </w:rPr>
      </w:pPr>
      <m:oMathPara>
        <m:oMath>
          <m:sSub>
            <m:sSubPr>
              <m:ctrlPr>
                <w:rPr>
                  <w:rFonts w:ascii="Cambria Math" w:eastAsia="CambriaMath" w:hAnsi="Cambria Math"/>
                  <w:szCs w:val="18"/>
                  <w:lang w:eastAsia="en-US"/>
                </w:rPr>
              </m:ctrlPr>
            </m:sSubPr>
            <m:e>
              <m:r>
                <m:rPr>
                  <m:sty m:val="p"/>
                </m:rPr>
                <w:rPr>
                  <w:rFonts w:ascii="Cambria Math" w:eastAsia="CambriaMath" w:hAnsi="Cambria Math"/>
                  <w:szCs w:val="18"/>
                  <w:lang w:eastAsia="en-US"/>
                </w:rPr>
                <m:t>MÖB</m:t>
              </m:r>
            </m:e>
            <m:sub>
              <m:r>
                <m:rPr>
                  <m:sty m:val="p"/>
                </m:rPr>
                <w:rPr>
                  <w:rFonts w:ascii="Cambria Math" w:eastAsia="CambriaMath" w:hAnsi="Cambria Math"/>
                  <w:szCs w:val="18"/>
                  <w:lang w:eastAsia="en-US"/>
                </w:rPr>
                <m:t>t,k,i</m:t>
              </m:r>
            </m:sub>
          </m:sSub>
          <m:r>
            <w:rPr>
              <w:rFonts w:ascii="Cambria Math" w:eastAsia="CambriaMath" w:hAnsi="Cambria Math"/>
              <w:szCs w:val="18"/>
              <w:lang w:eastAsia="en-US"/>
            </w:rPr>
            <m:t xml:space="preserve"> =</m:t>
          </m:r>
          <m:sSub>
            <m:sSubPr>
              <m:ctrlPr>
                <w:rPr>
                  <w:rFonts w:ascii="Cambria Math" w:eastAsia="CambriaMath" w:hAnsi="Cambria Math"/>
                  <w:szCs w:val="18"/>
                  <w:lang w:eastAsia="en-US"/>
                </w:rPr>
              </m:ctrlPr>
            </m:sSubPr>
            <m:e>
              <m:r>
                <m:rPr>
                  <m:sty m:val="p"/>
                </m:rPr>
                <w:rPr>
                  <w:rFonts w:ascii="Cambria Math" w:eastAsia="CambriaMath" w:hAnsi="Cambria Math"/>
                  <w:szCs w:val="18"/>
                  <w:lang w:eastAsia="en-US"/>
                </w:rPr>
                <m:t>TDB</m:t>
              </m:r>
            </m:e>
            <m:sub>
              <m:r>
                <m:rPr>
                  <m:sty m:val="p"/>
                </m:rPr>
                <w:rPr>
                  <w:rFonts w:ascii="Cambria Math" w:eastAsia="CambriaMath" w:hAnsi="Cambria Math"/>
                  <w:szCs w:val="18"/>
                  <w:lang w:eastAsia="en-US"/>
                </w:rPr>
                <m:t>t,k</m:t>
              </m:r>
            </m:sub>
          </m:sSub>
          <m:r>
            <m:rPr>
              <m:sty m:val="p"/>
            </m:rPr>
            <w:rPr>
              <w:rFonts w:ascii="Cambria Math" w:eastAsia="CambriaMath" w:hAnsi="Cambria Math"/>
              <w:szCs w:val="18"/>
              <w:lang w:eastAsia="en-US"/>
            </w:rPr>
            <m:t>×</m:t>
          </m:r>
          <m:f>
            <m:fPr>
              <m:ctrlPr>
                <w:rPr>
                  <w:rFonts w:ascii="Cambria Math" w:eastAsia="CambriaMath" w:hAnsi="Cambria Math"/>
                  <w:szCs w:val="18"/>
                  <w:lang w:eastAsia="en-US"/>
                </w:rPr>
              </m:ctrlPr>
            </m:fPr>
            <m:num>
              <m:sSub>
                <m:sSubPr>
                  <m:ctrlPr>
                    <w:rPr>
                      <w:rFonts w:ascii="Cambria Math" w:eastAsia="CambriaMath" w:hAnsi="Cambria Math"/>
                      <w:szCs w:val="18"/>
                      <w:lang w:eastAsia="en-US"/>
                    </w:rPr>
                  </m:ctrlPr>
                </m:sSubPr>
                <m:e>
                  <m:r>
                    <m:rPr>
                      <m:sty m:val="p"/>
                    </m:rPr>
                    <w:rPr>
                      <w:rFonts w:ascii="Cambria Math" w:eastAsia="CambriaMath" w:hAnsi="Cambria Math"/>
                      <w:szCs w:val="18"/>
                      <w:lang w:eastAsia="en-US"/>
                    </w:rPr>
                    <m:t>BG</m:t>
                  </m:r>
                </m:e>
                <m:sub>
                  <m:r>
                    <m:rPr>
                      <m:sty m:val="p"/>
                    </m:rPr>
                    <w:rPr>
                      <w:rFonts w:ascii="Cambria Math" w:eastAsia="CambriaMath" w:hAnsi="Cambria Math"/>
                      <w:szCs w:val="18"/>
                      <w:lang w:eastAsia="en-US"/>
                    </w:rPr>
                    <m:t>i</m:t>
                  </m:r>
                </m:sub>
              </m:sSub>
            </m:num>
            <m:den>
              <m:sSub>
                <m:sSubPr>
                  <m:ctrlPr>
                    <w:rPr>
                      <w:rFonts w:ascii="Cambria Math" w:eastAsia="CambriaMath" w:hAnsi="Cambria Math"/>
                      <w:szCs w:val="18"/>
                      <w:lang w:eastAsia="en-US"/>
                    </w:rPr>
                  </m:ctrlPr>
                </m:sSubPr>
                <m:e>
                  <m:r>
                    <m:rPr>
                      <m:sty m:val="p"/>
                    </m:rPr>
                    <w:rPr>
                      <w:rFonts w:ascii="Cambria Math" w:eastAsia="CambriaMath" w:hAnsi="Cambria Math"/>
                      <w:szCs w:val="18"/>
                      <w:lang w:eastAsia="en-US"/>
                    </w:rPr>
                    <m:t>BG</m:t>
                  </m:r>
                </m:e>
                <m:sub>
                  <m:r>
                    <m:rPr>
                      <m:sty m:val="p"/>
                    </m:rPr>
                    <w:rPr>
                      <w:rFonts w:ascii="Cambria Math" w:eastAsia="CambriaMath" w:hAnsi="Cambria Math"/>
                      <w:szCs w:val="18"/>
                      <w:lang w:eastAsia="en-US"/>
                    </w:rPr>
                    <m:t>T</m:t>
                  </m:r>
                </m:sub>
              </m:sSub>
            </m:den>
          </m:f>
        </m:oMath>
      </m:oMathPara>
    </w:p>
    <w:p w:rsidR="00885C7C" w:rsidRPr="006D3E66" w:rsidRDefault="00F9281C" w:rsidP="007D57B6">
      <w:pPr>
        <w:autoSpaceDE w:val="0"/>
        <w:autoSpaceDN w:val="0"/>
        <w:adjustRightInd w:val="0"/>
        <w:rPr>
          <w:rFonts w:eastAsiaTheme="minorHAnsi"/>
          <w:lang w:eastAsia="en-US"/>
        </w:rPr>
      </w:pPr>
      <w:r w:rsidRPr="006D3E66">
        <w:rPr>
          <w:rFonts w:eastAsiaTheme="minorHAnsi"/>
          <w:lang w:eastAsia="en-US"/>
        </w:rPr>
        <w:t>Bu formülde geçen,</w:t>
      </w:r>
    </w:p>
    <w:p w:rsidR="00F9281C" w:rsidRPr="006D3E66" w:rsidRDefault="00250A55" w:rsidP="007D57B6">
      <w:pPr>
        <w:autoSpaceDE w:val="0"/>
        <w:autoSpaceDN w:val="0"/>
        <w:adjustRightInd w:val="0"/>
        <w:rPr>
          <w:rFonts w:eastAsiaTheme="minorHAnsi"/>
          <w:lang w:eastAsia="en-US"/>
        </w:rPr>
      </w:pPr>
      <m:oMath>
        <m:sSub>
          <m:sSubPr>
            <m:ctrlPr>
              <w:rPr>
                <w:rFonts w:ascii="Cambria Math" w:eastAsia="CambriaMath" w:hAnsi="Cambria Math"/>
                <w:szCs w:val="18"/>
                <w:lang w:eastAsia="en-US"/>
              </w:rPr>
            </m:ctrlPr>
          </m:sSubPr>
          <m:e>
            <m:r>
              <m:rPr>
                <m:sty m:val="p"/>
              </m:rPr>
              <w:rPr>
                <w:rFonts w:ascii="Cambria Math" w:eastAsia="CambriaMath" w:hAnsi="Cambria Math"/>
                <w:szCs w:val="18"/>
                <w:lang w:eastAsia="en-US"/>
              </w:rPr>
              <m:t>MÖB</m:t>
            </m:r>
          </m:e>
          <m:sub>
            <m:r>
              <m:rPr>
                <m:sty m:val="p"/>
              </m:rPr>
              <w:rPr>
                <w:rFonts w:ascii="Cambria Math" w:eastAsia="CambriaMath" w:hAnsi="Cambria Math"/>
                <w:szCs w:val="18"/>
                <w:lang w:eastAsia="en-US"/>
              </w:rPr>
              <m:t>t,k,i</m:t>
            </m:r>
          </m:sub>
        </m:sSub>
        <m:r>
          <m:rPr>
            <m:sty m:val="p"/>
          </m:rPr>
          <w:rPr>
            <w:rFonts w:ascii="Cambria Math" w:eastAsia="CambriaMath" w:hAnsi="Cambria Math"/>
            <w:szCs w:val="18"/>
            <w:lang w:eastAsia="en-US"/>
          </w:rPr>
          <m:t xml:space="preserve"> </m:t>
        </m:r>
      </m:oMath>
      <w:r w:rsidR="00885C7C" w:rsidRPr="006D3E66">
        <w:rPr>
          <w:rFonts w:eastAsiaTheme="minorHAnsi"/>
          <w:sz w:val="16"/>
          <w:szCs w:val="16"/>
          <w:lang w:eastAsia="en-US"/>
        </w:rPr>
        <w:t xml:space="preserve"> </w:t>
      </w:r>
      <w:r w:rsidR="00E55017" w:rsidRPr="006D3E66">
        <w:rPr>
          <w:rFonts w:eastAsiaTheme="minorHAnsi"/>
          <w:sz w:val="16"/>
          <w:szCs w:val="16"/>
          <w:lang w:eastAsia="en-US"/>
        </w:rPr>
        <w:tab/>
      </w:r>
      <w:r w:rsidR="00E55017" w:rsidRPr="006D3E66">
        <w:rPr>
          <w:rFonts w:eastAsiaTheme="minorHAnsi"/>
          <w:lang w:eastAsia="en-US"/>
        </w:rPr>
        <w:t>“</w:t>
      </w:r>
      <w:r w:rsidR="00F9281C" w:rsidRPr="006D3E66">
        <w:rPr>
          <w:rFonts w:eastAsiaTheme="minorHAnsi"/>
          <w:iCs/>
          <w:lang w:eastAsia="en-US"/>
        </w:rPr>
        <w:t>t</w:t>
      </w:r>
      <w:r w:rsidR="00E55017" w:rsidRPr="006D3E66">
        <w:rPr>
          <w:rFonts w:eastAsiaTheme="minorHAnsi"/>
          <w:iCs/>
          <w:lang w:eastAsia="en-US"/>
        </w:rPr>
        <w:t>”</w:t>
      </w:r>
      <w:r w:rsidR="00F9281C" w:rsidRPr="006D3E66">
        <w:rPr>
          <w:rFonts w:eastAsiaTheme="minorHAnsi"/>
          <w:iCs/>
          <w:lang w:eastAsia="en-US"/>
        </w:rPr>
        <w:t xml:space="preserve"> </w:t>
      </w:r>
      <w:r w:rsidR="00F9281C" w:rsidRPr="006D3E66">
        <w:rPr>
          <w:rFonts w:eastAsiaTheme="minorHAnsi"/>
          <w:lang w:eastAsia="en-US"/>
        </w:rPr>
        <w:t xml:space="preserve">tesisinin </w:t>
      </w:r>
      <w:r w:rsidR="00E55017" w:rsidRPr="006D3E66">
        <w:rPr>
          <w:rFonts w:eastAsiaTheme="minorHAnsi"/>
          <w:lang w:eastAsia="en-US"/>
        </w:rPr>
        <w:t>“</w:t>
      </w:r>
      <w:r w:rsidR="00F9281C" w:rsidRPr="006D3E66">
        <w:rPr>
          <w:rFonts w:eastAsiaTheme="minorHAnsi"/>
          <w:iCs/>
          <w:lang w:eastAsia="en-US"/>
        </w:rPr>
        <w:t>k</w:t>
      </w:r>
      <w:r w:rsidR="00E55017" w:rsidRPr="006D3E66">
        <w:rPr>
          <w:rFonts w:eastAsiaTheme="minorHAnsi"/>
          <w:iCs/>
          <w:lang w:eastAsia="en-US"/>
        </w:rPr>
        <w:t>”</w:t>
      </w:r>
      <w:r w:rsidR="00F9281C" w:rsidRPr="006D3E66">
        <w:rPr>
          <w:rFonts w:eastAsiaTheme="minorHAnsi"/>
          <w:iCs/>
          <w:lang w:eastAsia="en-US"/>
        </w:rPr>
        <w:t xml:space="preserve"> </w:t>
      </w:r>
      <w:r w:rsidR="00F9281C" w:rsidRPr="006D3E66">
        <w:rPr>
          <w:rFonts w:eastAsiaTheme="minorHAnsi"/>
          <w:lang w:eastAsia="en-US"/>
        </w:rPr>
        <w:t xml:space="preserve">kısmının maliki konumundaki </w:t>
      </w:r>
      <w:r w:rsidR="00E55017" w:rsidRPr="006D3E66">
        <w:rPr>
          <w:rFonts w:eastAsiaTheme="minorHAnsi"/>
          <w:lang w:eastAsia="en-US"/>
        </w:rPr>
        <w:t>“</w:t>
      </w:r>
      <w:r w:rsidR="00F9281C" w:rsidRPr="006D3E66">
        <w:rPr>
          <w:rFonts w:eastAsiaTheme="minorHAnsi"/>
          <w:iCs/>
          <w:lang w:eastAsia="en-US"/>
        </w:rPr>
        <w:t>i</w:t>
      </w:r>
      <w:r w:rsidR="00E55017" w:rsidRPr="006D3E66">
        <w:rPr>
          <w:rFonts w:eastAsiaTheme="minorHAnsi"/>
          <w:iCs/>
          <w:lang w:eastAsia="en-US"/>
        </w:rPr>
        <w:t>”</w:t>
      </w:r>
      <w:r w:rsidR="00F9281C" w:rsidRPr="006D3E66">
        <w:rPr>
          <w:rFonts w:eastAsiaTheme="minorHAnsi"/>
          <w:iCs/>
          <w:lang w:eastAsia="en-US"/>
        </w:rPr>
        <w:t xml:space="preserve"> </w:t>
      </w:r>
      <w:r w:rsidR="00F9281C" w:rsidRPr="006D3E66">
        <w:rPr>
          <w:rFonts w:eastAsiaTheme="minorHAnsi"/>
          <w:lang w:eastAsia="en-US"/>
        </w:rPr>
        <w:t xml:space="preserve">kullanıcısına ödenecek tesis </w:t>
      </w:r>
      <w:r w:rsidR="00832426" w:rsidRPr="006D3E66">
        <w:rPr>
          <w:rFonts w:eastAsiaTheme="minorHAnsi"/>
          <w:lang w:eastAsia="en-US"/>
        </w:rPr>
        <w:tab/>
      </w:r>
      <w:r w:rsidR="00832426" w:rsidRPr="006D3E66">
        <w:rPr>
          <w:rFonts w:eastAsiaTheme="minorHAnsi"/>
          <w:lang w:eastAsia="en-US"/>
        </w:rPr>
        <w:tab/>
      </w:r>
      <w:r w:rsidR="00F9281C" w:rsidRPr="006D3E66">
        <w:rPr>
          <w:rFonts w:eastAsiaTheme="minorHAnsi"/>
          <w:lang w:eastAsia="en-US"/>
        </w:rPr>
        <w:t>devir bedelini,</w:t>
      </w:r>
    </w:p>
    <w:p w:rsidR="00F9281C" w:rsidRPr="006D3E66" w:rsidRDefault="00250A55" w:rsidP="007D57B6">
      <w:pPr>
        <w:autoSpaceDE w:val="0"/>
        <w:autoSpaceDN w:val="0"/>
        <w:adjustRightInd w:val="0"/>
        <w:rPr>
          <w:rFonts w:eastAsiaTheme="minorHAnsi"/>
          <w:lang w:eastAsia="en-US"/>
        </w:rPr>
      </w:pPr>
      <m:oMath>
        <m:sSub>
          <m:sSubPr>
            <m:ctrlPr>
              <w:rPr>
                <w:rFonts w:ascii="Cambria Math" w:eastAsia="CambriaMath" w:hAnsi="Cambria Math"/>
                <w:szCs w:val="18"/>
                <w:lang w:eastAsia="en-US"/>
              </w:rPr>
            </m:ctrlPr>
          </m:sSubPr>
          <m:e>
            <m:r>
              <m:rPr>
                <m:sty m:val="p"/>
              </m:rPr>
              <w:rPr>
                <w:rFonts w:ascii="Cambria Math" w:eastAsia="CambriaMath" w:hAnsi="Cambria Math"/>
                <w:szCs w:val="18"/>
                <w:lang w:eastAsia="en-US"/>
              </w:rPr>
              <m:t>TDB</m:t>
            </m:r>
          </m:e>
          <m:sub>
            <m:r>
              <m:rPr>
                <m:sty m:val="p"/>
              </m:rPr>
              <w:rPr>
                <w:rFonts w:ascii="Cambria Math" w:eastAsia="CambriaMath" w:hAnsi="Cambria Math"/>
                <w:szCs w:val="18"/>
                <w:lang w:eastAsia="en-US"/>
              </w:rPr>
              <m:t>t,k</m:t>
            </m:r>
          </m:sub>
        </m:sSub>
      </m:oMath>
      <w:r w:rsidR="00F9281C" w:rsidRPr="006D3E66">
        <w:rPr>
          <w:rFonts w:eastAsiaTheme="minorHAnsi"/>
          <w:sz w:val="16"/>
          <w:szCs w:val="16"/>
          <w:lang w:eastAsia="en-US"/>
        </w:rPr>
        <w:t xml:space="preserve"> </w:t>
      </w:r>
      <w:r w:rsidR="00F22ADF" w:rsidRPr="006D3E66">
        <w:rPr>
          <w:rFonts w:eastAsiaTheme="minorHAnsi"/>
          <w:sz w:val="16"/>
          <w:szCs w:val="16"/>
          <w:lang w:eastAsia="en-US"/>
        </w:rPr>
        <w:tab/>
      </w:r>
      <w:r w:rsidR="00F22ADF" w:rsidRPr="006D3E66">
        <w:rPr>
          <w:rFonts w:eastAsiaTheme="minorHAnsi"/>
          <w:sz w:val="16"/>
          <w:szCs w:val="16"/>
          <w:lang w:eastAsia="en-US"/>
        </w:rPr>
        <w:tab/>
      </w:r>
      <w:r w:rsidR="00E55017" w:rsidRPr="006D3E66">
        <w:rPr>
          <w:rFonts w:eastAsiaTheme="minorHAnsi"/>
          <w:lang w:eastAsia="en-US"/>
        </w:rPr>
        <w:t>“</w:t>
      </w:r>
      <w:r w:rsidR="00F9281C" w:rsidRPr="006D3E66">
        <w:rPr>
          <w:rFonts w:eastAsiaTheme="minorHAnsi"/>
          <w:iCs/>
          <w:lang w:eastAsia="en-US"/>
        </w:rPr>
        <w:t>t</w:t>
      </w:r>
      <w:r w:rsidR="00E55017" w:rsidRPr="006D3E66">
        <w:rPr>
          <w:rFonts w:eastAsiaTheme="minorHAnsi"/>
          <w:iCs/>
          <w:lang w:eastAsia="en-US"/>
        </w:rPr>
        <w:t>”</w:t>
      </w:r>
      <w:r w:rsidR="00F9281C" w:rsidRPr="006D3E66">
        <w:rPr>
          <w:rFonts w:eastAsiaTheme="minorHAnsi"/>
          <w:iCs/>
          <w:lang w:eastAsia="en-US"/>
        </w:rPr>
        <w:t xml:space="preserve"> </w:t>
      </w:r>
      <w:r w:rsidR="00F9281C" w:rsidRPr="006D3E66">
        <w:rPr>
          <w:rFonts w:eastAsiaTheme="minorHAnsi"/>
          <w:lang w:eastAsia="en-US"/>
        </w:rPr>
        <w:t xml:space="preserve">tesisinin </w:t>
      </w:r>
      <w:r w:rsidR="00E55017" w:rsidRPr="006D3E66">
        <w:rPr>
          <w:rFonts w:eastAsiaTheme="minorHAnsi"/>
          <w:lang w:eastAsia="en-US"/>
        </w:rPr>
        <w:t>“</w:t>
      </w:r>
      <w:r w:rsidR="00F9281C" w:rsidRPr="006D3E66">
        <w:rPr>
          <w:rFonts w:eastAsiaTheme="minorHAnsi"/>
          <w:iCs/>
          <w:lang w:eastAsia="en-US"/>
        </w:rPr>
        <w:t>k</w:t>
      </w:r>
      <w:r w:rsidR="00E55017" w:rsidRPr="006D3E66">
        <w:rPr>
          <w:rFonts w:eastAsiaTheme="minorHAnsi"/>
          <w:iCs/>
          <w:lang w:eastAsia="en-US"/>
        </w:rPr>
        <w:t>”</w:t>
      </w:r>
      <w:r w:rsidR="00F9281C" w:rsidRPr="006D3E66">
        <w:rPr>
          <w:rFonts w:eastAsiaTheme="minorHAnsi"/>
          <w:iCs/>
          <w:lang w:eastAsia="en-US"/>
        </w:rPr>
        <w:t xml:space="preserve"> </w:t>
      </w:r>
      <w:r w:rsidR="00F9281C" w:rsidRPr="006D3E66">
        <w:rPr>
          <w:rFonts w:eastAsiaTheme="minorHAnsi"/>
          <w:lang w:eastAsia="en-US"/>
        </w:rPr>
        <w:t>kısmı için ödemeye esas toplam devir bedelini,</w:t>
      </w:r>
    </w:p>
    <w:p w:rsidR="00F9281C" w:rsidRPr="006D3E66" w:rsidRDefault="00250A55" w:rsidP="007D57B6">
      <w:pPr>
        <w:autoSpaceDE w:val="0"/>
        <w:autoSpaceDN w:val="0"/>
        <w:adjustRightInd w:val="0"/>
        <w:rPr>
          <w:rFonts w:eastAsiaTheme="minorHAnsi"/>
          <w:lang w:eastAsia="en-US"/>
        </w:rPr>
      </w:pPr>
      <m:oMath>
        <m:sSub>
          <m:sSubPr>
            <m:ctrlPr>
              <w:rPr>
                <w:rFonts w:ascii="Cambria Math" w:eastAsia="CambriaMath" w:hAnsi="Cambria Math"/>
                <w:szCs w:val="18"/>
                <w:lang w:eastAsia="en-US"/>
              </w:rPr>
            </m:ctrlPr>
          </m:sSubPr>
          <m:e>
            <m:r>
              <m:rPr>
                <m:sty m:val="p"/>
              </m:rPr>
              <w:rPr>
                <w:rFonts w:ascii="Cambria Math" w:eastAsia="CambriaMath" w:hAnsi="Cambria Math"/>
                <w:szCs w:val="18"/>
                <w:lang w:eastAsia="en-US"/>
              </w:rPr>
              <m:t>BG</m:t>
            </m:r>
          </m:e>
          <m:sub>
            <m:r>
              <m:rPr>
                <m:sty m:val="p"/>
              </m:rPr>
              <w:rPr>
                <w:rFonts w:ascii="Cambria Math" w:eastAsia="CambriaMath" w:hAnsi="Cambria Math"/>
                <w:szCs w:val="18"/>
                <w:lang w:eastAsia="en-US"/>
              </w:rPr>
              <m:t>i</m:t>
            </m:r>
          </m:sub>
        </m:sSub>
      </m:oMath>
      <w:r w:rsidR="00F9281C" w:rsidRPr="006D3E66">
        <w:rPr>
          <w:rFonts w:eastAsiaTheme="minorHAnsi"/>
          <w:sz w:val="16"/>
          <w:szCs w:val="16"/>
          <w:lang w:eastAsia="en-US"/>
        </w:rPr>
        <w:t xml:space="preserve"> </w:t>
      </w:r>
      <w:r w:rsidR="00885C7C" w:rsidRPr="006D3E66">
        <w:rPr>
          <w:rFonts w:eastAsiaTheme="minorHAnsi"/>
          <w:sz w:val="16"/>
          <w:szCs w:val="16"/>
          <w:lang w:eastAsia="en-US"/>
        </w:rPr>
        <w:tab/>
      </w:r>
      <w:r w:rsidR="00E55017" w:rsidRPr="006D3E66">
        <w:rPr>
          <w:rFonts w:eastAsiaTheme="minorHAnsi"/>
          <w:sz w:val="16"/>
          <w:szCs w:val="16"/>
          <w:lang w:eastAsia="en-US"/>
        </w:rPr>
        <w:tab/>
      </w:r>
      <w:r w:rsidR="00E55017" w:rsidRPr="006D3E66">
        <w:rPr>
          <w:rFonts w:eastAsiaTheme="minorHAnsi"/>
          <w:lang w:eastAsia="en-US"/>
        </w:rPr>
        <w:t>“</w:t>
      </w:r>
      <w:r w:rsidR="00F9281C" w:rsidRPr="006D3E66">
        <w:rPr>
          <w:rFonts w:eastAsiaTheme="minorHAnsi"/>
          <w:iCs/>
          <w:lang w:eastAsia="en-US"/>
        </w:rPr>
        <w:t>i</w:t>
      </w:r>
      <w:r w:rsidR="00E55017" w:rsidRPr="006D3E66">
        <w:rPr>
          <w:rFonts w:eastAsiaTheme="minorHAnsi"/>
          <w:iCs/>
          <w:lang w:eastAsia="en-US"/>
        </w:rPr>
        <w:t>”</w:t>
      </w:r>
      <w:r w:rsidR="00F9281C" w:rsidRPr="006D3E66">
        <w:rPr>
          <w:rFonts w:eastAsiaTheme="minorHAnsi"/>
          <w:iCs/>
          <w:lang w:eastAsia="en-US"/>
        </w:rPr>
        <w:t xml:space="preserve"> </w:t>
      </w:r>
      <w:r w:rsidR="00F9281C" w:rsidRPr="006D3E66">
        <w:rPr>
          <w:rFonts w:eastAsiaTheme="minorHAnsi"/>
          <w:lang w:eastAsia="en-US"/>
        </w:rPr>
        <w:t>kullanıcısının bağlantı gücünü,</w:t>
      </w:r>
    </w:p>
    <w:p w:rsidR="00F9281C" w:rsidRPr="006D3E66" w:rsidRDefault="00250A55" w:rsidP="007D57B6">
      <w:pPr>
        <w:autoSpaceDE w:val="0"/>
        <w:autoSpaceDN w:val="0"/>
        <w:adjustRightInd w:val="0"/>
        <w:rPr>
          <w:rFonts w:eastAsiaTheme="minorHAnsi"/>
          <w:lang w:eastAsia="en-US"/>
        </w:rPr>
      </w:pPr>
      <m:oMath>
        <m:sSub>
          <m:sSubPr>
            <m:ctrlPr>
              <w:rPr>
                <w:rFonts w:ascii="Cambria Math" w:eastAsia="CambriaMath" w:hAnsi="Cambria Math"/>
                <w:szCs w:val="18"/>
                <w:lang w:eastAsia="en-US"/>
              </w:rPr>
            </m:ctrlPr>
          </m:sSubPr>
          <m:e>
            <m:r>
              <m:rPr>
                <m:sty m:val="p"/>
              </m:rPr>
              <w:rPr>
                <w:rFonts w:ascii="Cambria Math" w:eastAsia="CambriaMath" w:hAnsi="Cambria Math"/>
                <w:szCs w:val="18"/>
                <w:lang w:eastAsia="en-US"/>
              </w:rPr>
              <m:t>BG</m:t>
            </m:r>
          </m:e>
          <m:sub>
            <m:r>
              <m:rPr>
                <m:sty m:val="p"/>
              </m:rPr>
              <w:rPr>
                <w:rFonts w:ascii="Cambria Math" w:eastAsia="CambriaMath" w:hAnsi="Cambria Math"/>
                <w:szCs w:val="18"/>
                <w:lang w:eastAsia="en-US"/>
              </w:rPr>
              <m:t>T</m:t>
            </m:r>
          </m:sub>
        </m:sSub>
      </m:oMath>
      <w:r w:rsidR="00F9281C" w:rsidRPr="006D3E66">
        <w:rPr>
          <w:rFonts w:eastAsiaTheme="minorHAnsi"/>
          <w:sz w:val="16"/>
          <w:szCs w:val="16"/>
          <w:lang w:eastAsia="en-US"/>
        </w:rPr>
        <w:t xml:space="preserve"> </w:t>
      </w:r>
      <w:r w:rsidR="00885C7C" w:rsidRPr="006D3E66">
        <w:rPr>
          <w:rFonts w:eastAsiaTheme="minorHAnsi"/>
          <w:sz w:val="16"/>
          <w:szCs w:val="16"/>
          <w:lang w:eastAsia="en-US"/>
        </w:rPr>
        <w:tab/>
      </w:r>
      <w:r w:rsidR="00E55017" w:rsidRPr="006D3E66">
        <w:rPr>
          <w:rFonts w:eastAsiaTheme="minorHAnsi"/>
          <w:sz w:val="16"/>
          <w:szCs w:val="16"/>
          <w:lang w:eastAsia="en-US"/>
        </w:rPr>
        <w:tab/>
      </w:r>
      <w:r w:rsidR="00E55017" w:rsidRPr="006D3E66">
        <w:rPr>
          <w:rFonts w:eastAsiaTheme="minorHAnsi"/>
          <w:lang w:eastAsia="en-US"/>
        </w:rPr>
        <w:t>“</w:t>
      </w:r>
      <w:r w:rsidR="00F9281C" w:rsidRPr="006D3E66">
        <w:rPr>
          <w:rFonts w:eastAsiaTheme="minorHAnsi"/>
          <w:iCs/>
          <w:lang w:eastAsia="en-US"/>
        </w:rPr>
        <w:t>t</w:t>
      </w:r>
      <w:r w:rsidR="00E55017" w:rsidRPr="006D3E66">
        <w:rPr>
          <w:rFonts w:eastAsiaTheme="minorHAnsi"/>
          <w:iCs/>
          <w:lang w:eastAsia="en-US"/>
        </w:rPr>
        <w:t>”</w:t>
      </w:r>
      <w:r w:rsidR="00F9281C" w:rsidRPr="006D3E66">
        <w:rPr>
          <w:rFonts w:eastAsiaTheme="minorHAnsi"/>
          <w:iCs/>
          <w:lang w:eastAsia="en-US"/>
        </w:rPr>
        <w:t xml:space="preserve"> </w:t>
      </w:r>
      <w:r w:rsidR="00F9281C" w:rsidRPr="006D3E66">
        <w:rPr>
          <w:rFonts w:eastAsiaTheme="minorHAnsi"/>
          <w:lang w:eastAsia="en-US"/>
        </w:rPr>
        <w:t xml:space="preserve">tesisinin </w:t>
      </w:r>
      <w:r w:rsidR="00E55017" w:rsidRPr="006D3E66">
        <w:rPr>
          <w:rFonts w:eastAsiaTheme="minorHAnsi"/>
          <w:lang w:eastAsia="en-US"/>
        </w:rPr>
        <w:t>“</w:t>
      </w:r>
      <w:r w:rsidR="00F9281C" w:rsidRPr="006D3E66">
        <w:rPr>
          <w:rFonts w:eastAsiaTheme="minorHAnsi"/>
          <w:iCs/>
          <w:lang w:eastAsia="en-US"/>
        </w:rPr>
        <w:t>k</w:t>
      </w:r>
      <w:r w:rsidR="00E55017" w:rsidRPr="006D3E66">
        <w:rPr>
          <w:rFonts w:eastAsiaTheme="minorHAnsi"/>
          <w:iCs/>
          <w:lang w:eastAsia="en-US"/>
        </w:rPr>
        <w:t>”</w:t>
      </w:r>
      <w:r w:rsidR="00F9281C" w:rsidRPr="006D3E66">
        <w:rPr>
          <w:rFonts w:eastAsiaTheme="minorHAnsi"/>
          <w:iCs/>
          <w:lang w:eastAsia="en-US"/>
        </w:rPr>
        <w:t xml:space="preserve"> </w:t>
      </w:r>
      <w:r w:rsidR="00F9281C" w:rsidRPr="006D3E66">
        <w:rPr>
          <w:rFonts w:eastAsiaTheme="minorHAnsi"/>
          <w:lang w:eastAsia="en-US"/>
        </w:rPr>
        <w:t>kısmının tüm maliklerinin toplam bağlantı gücünü,</w:t>
      </w:r>
    </w:p>
    <w:p w:rsidR="00F9281C" w:rsidRPr="006D3E66" w:rsidRDefault="00F22ADF" w:rsidP="007D57B6">
      <w:pPr>
        <w:autoSpaceDE w:val="0"/>
        <w:autoSpaceDN w:val="0"/>
        <w:adjustRightInd w:val="0"/>
        <w:rPr>
          <w:rFonts w:eastAsiaTheme="minorHAnsi"/>
          <w:lang w:eastAsia="en-US"/>
        </w:rPr>
      </w:pPr>
      <w:r w:rsidRPr="006D3E66">
        <w:rPr>
          <w:rFonts w:eastAsiaTheme="minorHAnsi"/>
          <w:lang w:eastAsia="en-US"/>
        </w:rPr>
        <w:t>i</w:t>
      </w:r>
      <w:r w:rsidR="00E55017" w:rsidRPr="006D3E66">
        <w:rPr>
          <w:rFonts w:eastAsiaTheme="minorHAnsi"/>
          <w:lang w:eastAsia="en-US"/>
        </w:rPr>
        <w:tab/>
      </w:r>
      <w:r w:rsidR="00E55017" w:rsidRPr="006D3E66">
        <w:rPr>
          <w:rFonts w:eastAsiaTheme="minorHAnsi"/>
          <w:lang w:eastAsia="en-US"/>
        </w:rPr>
        <w:tab/>
        <w:t>“</w:t>
      </w:r>
      <w:r w:rsidR="00F9281C" w:rsidRPr="006D3E66">
        <w:rPr>
          <w:rFonts w:eastAsiaTheme="minorHAnsi"/>
          <w:iCs/>
          <w:lang w:eastAsia="en-US"/>
        </w:rPr>
        <w:t>t</w:t>
      </w:r>
      <w:r w:rsidR="00E55017" w:rsidRPr="006D3E66">
        <w:rPr>
          <w:rFonts w:eastAsiaTheme="minorHAnsi"/>
          <w:iCs/>
          <w:lang w:eastAsia="en-US"/>
        </w:rPr>
        <w:t>”</w:t>
      </w:r>
      <w:r w:rsidR="00F9281C" w:rsidRPr="006D3E66">
        <w:rPr>
          <w:rFonts w:eastAsiaTheme="minorHAnsi"/>
          <w:iCs/>
          <w:lang w:eastAsia="en-US"/>
        </w:rPr>
        <w:t xml:space="preserve"> </w:t>
      </w:r>
      <w:r w:rsidR="00F9281C" w:rsidRPr="006D3E66">
        <w:rPr>
          <w:rFonts w:eastAsiaTheme="minorHAnsi"/>
          <w:lang w:eastAsia="en-US"/>
        </w:rPr>
        <w:t xml:space="preserve">tesisinin </w:t>
      </w:r>
      <w:r w:rsidR="00E55017" w:rsidRPr="006D3E66">
        <w:rPr>
          <w:rFonts w:eastAsiaTheme="minorHAnsi"/>
          <w:lang w:eastAsia="en-US"/>
        </w:rPr>
        <w:t>“</w:t>
      </w:r>
      <w:r w:rsidR="00F9281C" w:rsidRPr="006D3E66">
        <w:rPr>
          <w:rFonts w:eastAsiaTheme="minorHAnsi"/>
          <w:iCs/>
          <w:lang w:eastAsia="en-US"/>
        </w:rPr>
        <w:t>k</w:t>
      </w:r>
      <w:r w:rsidR="00E55017" w:rsidRPr="006D3E66">
        <w:rPr>
          <w:rFonts w:eastAsiaTheme="minorHAnsi"/>
          <w:iCs/>
          <w:lang w:eastAsia="en-US"/>
        </w:rPr>
        <w:t>”</w:t>
      </w:r>
      <w:r w:rsidR="00F9281C" w:rsidRPr="006D3E66">
        <w:rPr>
          <w:rFonts w:eastAsiaTheme="minorHAnsi"/>
          <w:iCs/>
          <w:lang w:eastAsia="en-US"/>
        </w:rPr>
        <w:t xml:space="preserve"> </w:t>
      </w:r>
      <w:r w:rsidR="00F9281C" w:rsidRPr="006D3E66">
        <w:rPr>
          <w:rFonts w:eastAsiaTheme="minorHAnsi"/>
          <w:lang w:eastAsia="en-US"/>
        </w:rPr>
        <w:t>kısmının maliki konumundaki her bir kullanıcıyı,</w:t>
      </w:r>
    </w:p>
    <w:p w:rsidR="00F9281C" w:rsidRPr="006D3E66" w:rsidRDefault="00F9281C" w:rsidP="007D57B6">
      <w:pPr>
        <w:autoSpaceDE w:val="0"/>
        <w:autoSpaceDN w:val="0"/>
        <w:adjustRightInd w:val="0"/>
        <w:rPr>
          <w:rFonts w:eastAsiaTheme="minorHAnsi"/>
          <w:lang w:eastAsia="en-US"/>
        </w:rPr>
      </w:pPr>
      <w:r w:rsidRPr="006D3E66">
        <w:rPr>
          <w:rFonts w:eastAsiaTheme="minorHAnsi"/>
          <w:lang w:eastAsia="en-US"/>
        </w:rPr>
        <w:t>ifade eder.</w:t>
      </w:r>
    </w:p>
    <w:p w:rsidR="007D57B6" w:rsidRPr="006D3E66" w:rsidRDefault="007D57B6" w:rsidP="007D57B6">
      <w:pPr>
        <w:autoSpaceDE w:val="0"/>
        <w:autoSpaceDN w:val="0"/>
        <w:adjustRightInd w:val="0"/>
        <w:rPr>
          <w:rFonts w:eastAsiaTheme="minorHAnsi"/>
          <w:lang w:eastAsia="en-US"/>
        </w:rPr>
      </w:pPr>
    </w:p>
    <w:p w:rsidR="007D57B6" w:rsidRPr="006D3E66" w:rsidRDefault="007D57B6" w:rsidP="007D57B6">
      <w:pPr>
        <w:rPr>
          <w:rFonts w:eastAsiaTheme="minorHAnsi"/>
          <w:lang w:eastAsia="en-US"/>
        </w:rPr>
      </w:pPr>
      <w:r w:rsidRPr="006D3E66">
        <w:rPr>
          <w:rFonts w:eastAsiaTheme="minorHAnsi"/>
          <w:lang w:eastAsia="en-US"/>
        </w:rPr>
        <w:t>(3) Devre konu elektrik tesislerine ait devir bedeli hesaplamalarında birim bedeller ve bu bedellere ilişkin tesis karakteristiklerinden uygun olanı esas alınır.</w:t>
      </w:r>
    </w:p>
    <w:p w:rsidR="00F9281C" w:rsidRPr="006D3E66" w:rsidRDefault="00F9281C" w:rsidP="007D57B6">
      <w:pPr>
        <w:autoSpaceDE w:val="0"/>
        <w:autoSpaceDN w:val="0"/>
        <w:adjustRightInd w:val="0"/>
        <w:rPr>
          <w:rFonts w:eastAsiaTheme="minorHAnsi"/>
          <w:lang w:eastAsia="en-US"/>
        </w:rPr>
      </w:pPr>
    </w:p>
    <w:p w:rsidR="00F9281C" w:rsidRPr="006D3E66" w:rsidRDefault="00F9281C" w:rsidP="007D57B6">
      <w:pPr>
        <w:autoSpaceDE w:val="0"/>
        <w:autoSpaceDN w:val="0"/>
        <w:adjustRightInd w:val="0"/>
        <w:rPr>
          <w:rFonts w:eastAsiaTheme="minorHAnsi"/>
          <w:b/>
          <w:bCs/>
          <w:lang w:eastAsia="en-US"/>
        </w:rPr>
      </w:pPr>
      <w:r w:rsidRPr="006D3E66">
        <w:rPr>
          <w:rFonts w:eastAsiaTheme="minorHAnsi"/>
          <w:b/>
          <w:bCs/>
          <w:lang w:eastAsia="en-US"/>
        </w:rPr>
        <w:t xml:space="preserve">Bedellerin </w:t>
      </w:r>
      <w:r w:rsidR="00832426" w:rsidRPr="006D3E66">
        <w:rPr>
          <w:rFonts w:eastAsiaTheme="minorHAnsi"/>
          <w:b/>
          <w:bCs/>
          <w:lang w:eastAsia="en-US"/>
        </w:rPr>
        <w:t>ödenmesine d</w:t>
      </w:r>
      <w:r w:rsidRPr="006D3E66">
        <w:rPr>
          <w:rFonts w:eastAsiaTheme="minorHAnsi"/>
          <w:b/>
          <w:bCs/>
          <w:lang w:eastAsia="en-US"/>
        </w:rPr>
        <w:t xml:space="preserve">air </w:t>
      </w:r>
      <w:r w:rsidR="00832426" w:rsidRPr="006D3E66">
        <w:rPr>
          <w:rFonts w:eastAsiaTheme="minorHAnsi"/>
          <w:b/>
          <w:bCs/>
          <w:lang w:eastAsia="en-US"/>
        </w:rPr>
        <w:t>e</w:t>
      </w:r>
      <w:r w:rsidRPr="006D3E66">
        <w:rPr>
          <w:rFonts w:eastAsiaTheme="minorHAnsi"/>
          <w:b/>
          <w:bCs/>
          <w:lang w:eastAsia="en-US"/>
        </w:rPr>
        <w:t>saslar</w:t>
      </w:r>
    </w:p>
    <w:p w:rsidR="00F9281C" w:rsidRPr="006D3E66" w:rsidRDefault="00F9281C" w:rsidP="007D57B6">
      <w:pPr>
        <w:autoSpaceDE w:val="0"/>
        <w:autoSpaceDN w:val="0"/>
        <w:adjustRightInd w:val="0"/>
        <w:rPr>
          <w:rFonts w:eastAsiaTheme="minorHAnsi"/>
          <w:lang w:eastAsia="en-US"/>
        </w:rPr>
      </w:pPr>
      <w:r w:rsidRPr="006D3E66">
        <w:rPr>
          <w:rFonts w:eastAsiaTheme="minorHAnsi"/>
          <w:b/>
          <w:bCs/>
          <w:lang w:eastAsia="en-US"/>
        </w:rPr>
        <w:t xml:space="preserve">MADDE 9 - </w:t>
      </w:r>
      <w:r w:rsidRPr="006D3E66">
        <w:rPr>
          <w:rFonts w:eastAsiaTheme="minorHAnsi"/>
          <w:bCs/>
          <w:lang w:eastAsia="en-US"/>
        </w:rPr>
        <w:t>(</w:t>
      </w:r>
      <w:r w:rsidRPr="006D3E66">
        <w:rPr>
          <w:rFonts w:eastAsiaTheme="minorHAnsi"/>
          <w:lang w:eastAsia="en-US"/>
        </w:rPr>
        <w:t>1) Her bir hak sahibine ödenecek devir ile ilgili bedeller, dağıtım şirketi tarafından gerçek veya tüzel kişiye; muhataba ulaşılamaması halinde ise tesisin bulunduğu yerdeki en yakın banka ya da PTT şubesine, hak sahip veya sahipleri adına yatırılarak ödenir.</w:t>
      </w:r>
    </w:p>
    <w:p w:rsidR="00F9281C" w:rsidRPr="006D3E66" w:rsidRDefault="00F9281C" w:rsidP="007D57B6">
      <w:pPr>
        <w:autoSpaceDE w:val="0"/>
        <w:autoSpaceDN w:val="0"/>
        <w:adjustRightInd w:val="0"/>
        <w:rPr>
          <w:rFonts w:eastAsiaTheme="minorHAnsi"/>
          <w:lang w:eastAsia="en-US"/>
        </w:rPr>
      </w:pPr>
    </w:p>
    <w:p w:rsidR="00F9281C" w:rsidRPr="006D3E66" w:rsidRDefault="00F9281C" w:rsidP="007D57B6">
      <w:pPr>
        <w:autoSpaceDE w:val="0"/>
        <w:autoSpaceDN w:val="0"/>
        <w:adjustRightInd w:val="0"/>
        <w:rPr>
          <w:rFonts w:eastAsiaTheme="minorHAnsi"/>
          <w:b/>
          <w:bCs/>
          <w:lang w:eastAsia="en-US"/>
        </w:rPr>
      </w:pPr>
      <w:r w:rsidRPr="006D3E66">
        <w:rPr>
          <w:rFonts w:eastAsiaTheme="minorHAnsi"/>
          <w:b/>
          <w:bCs/>
          <w:lang w:eastAsia="en-US"/>
        </w:rPr>
        <w:lastRenderedPageBreak/>
        <w:t>Yürürlükten kaldırılan usul ve esaslar</w:t>
      </w:r>
    </w:p>
    <w:p w:rsidR="00F9281C" w:rsidRPr="006D3E66" w:rsidRDefault="00F9281C" w:rsidP="007D57B6">
      <w:pPr>
        <w:autoSpaceDE w:val="0"/>
        <w:autoSpaceDN w:val="0"/>
        <w:adjustRightInd w:val="0"/>
        <w:rPr>
          <w:rFonts w:eastAsiaTheme="minorHAnsi"/>
          <w:lang w:eastAsia="en-US"/>
        </w:rPr>
      </w:pPr>
      <w:r w:rsidRPr="006D3E66">
        <w:rPr>
          <w:rFonts w:eastAsiaTheme="minorHAnsi"/>
          <w:b/>
          <w:bCs/>
          <w:lang w:eastAsia="en-US"/>
        </w:rPr>
        <w:t xml:space="preserve">MADDE 10 – </w:t>
      </w:r>
      <w:r w:rsidRPr="006D3E66">
        <w:rPr>
          <w:rFonts w:eastAsiaTheme="minorHAnsi"/>
          <w:lang w:eastAsia="en-US"/>
        </w:rPr>
        <w:t xml:space="preserve">(1) 18/01/2012 tarihli ve 3648/25 sayılı Kurul kararı ile onaylanan Ortak Kullanım Haline Gelen Elektrik Dağıtım Tesislerinin Elektrik </w:t>
      </w:r>
      <w:r w:rsidRPr="006D3E66">
        <w:rPr>
          <w:rFonts w:eastAsia="ヒラギノ明朝 Pro W3"/>
        </w:rPr>
        <w:t>Dağıtım</w:t>
      </w:r>
      <w:r w:rsidRPr="006D3E66">
        <w:rPr>
          <w:rFonts w:eastAsiaTheme="minorHAnsi"/>
          <w:lang w:eastAsia="en-US"/>
        </w:rPr>
        <w:t xml:space="preserve"> Şirketlerince Devralınmasına Dair Usul ve Esaslar yürürlükten kaldırılmıştır.</w:t>
      </w:r>
    </w:p>
    <w:p w:rsidR="00F9281C" w:rsidRPr="006D3E66" w:rsidRDefault="00F9281C" w:rsidP="007D57B6">
      <w:pPr>
        <w:autoSpaceDE w:val="0"/>
        <w:autoSpaceDN w:val="0"/>
        <w:adjustRightInd w:val="0"/>
        <w:rPr>
          <w:rFonts w:eastAsiaTheme="minorHAnsi"/>
          <w:lang w:eastAsia="en-US"/>
        </w:rPr>
      </w:pPr>
    </w:p>
    <w:p w:rsidR="00F9281C" w:rsidRPr="006D3E66" w:rsidRDefault="00F9281C" w:rsidP="007D57B6">
      <w:pPr>
        <w:autoSpaceDE w:val="0"/>
        <w:autoSpaceDN w:val="0"/>
        <w:adjustRightInd w:val="0"/>
        <w:rPr>
          <w:rFonts w:eastAsiaTheme="minorHAnsi"/>
          <w:b/>
          <w:bCs/>
          <w:lang w:eastAsia="en-US"/>
        </w:rPr>
      </w:pPr>
      <w:r w:rsidRPr="006D3E66">
        <w:rPr>
          <w:rFonts w:eastAsiaTheme="minorHAnsi"/>
          <w:b/>
          <w:bCs/>
          <w:lang w:eastAsia="en-US"/>
        </w:rPr>
        <w:t>Yürürlük</w:t>
      </w:r>
    </w:p>
    <w:p w:rsidR="00F9281C" w:rsidRPr="006D3E66" w:rsidRDefault="00F9281C" w:rsidP="007D57B6">
      <w:pPr>
        <w:autoSpaceDE w:val="0"/>
        <w:autoSpaceDN w:val="0"/>
        <w:adjustRightInd w:val="0"/>
        <w:rPr>
          <w:rFonts w:eastAsiaTheme="minorHAnsi"/>
          <w:lang w:eastAsia="en-US"/>
        </w:rPr>
      </w:pPr>
      <w:r w:rsidRPr="006D3E66">
        <w:rPr>
          <w:rFonts w:eastAsiaTheme="minorHAnsi"/>
          <w:b/>
          <w:bCs/>
          <w:lang w:eastAsia="en-US"/>
        </w:rPr>
        <w:t xml:space="preserve">MADDE 11 - </w:t>
      </w:r>
      <w:r w:rsidRPr="006D3E66">
        <w:rPr>
          <w:rFonts w:eastAsiaTheme="minorHAnsi"/>
          <w:lang w:eastAsia="en-US"/>
        </w:rPr>
        <w:t>(1) Bu Usul ve Esaslar yayımı tarihinde yürürlüğe girer.</w:t>
      </w:r>
    </w:p>
    <w:p w:rsidR="007D57B6" w:rsidRPr="006D3E66" w:rsidRDefault="007D57B6" w:rsidP="007D57B6">
      <w:pPr>
        <w:autoSpaceDE w:val="0"/>
        <w:autoSpaceDN w:val="0"/>
        <w:adjustRightInd w:val="0"/>
        <w:rPr>
          <w:rFonts w:eastAsiaTheme="minorHAnsi"/>
          <w:b/>
          <w:bCs/>
          <w:lang w:eastAsia="en-US"/>
        </w:rPr>
      </w:pPr>
    </w:p>
    <w:p w:rsidR="00F9281C" w:rsidRPr="006D3E66" w:rsidRDefault="00F9281C" w:rsidP="007D57B6">
      <w:pPr>
        <w:autoSpaceDE w:val="0"/>
        <w:autoSpaceDN w:val="0"/>
        <w:adjustRightInd w:val="0"/>
        <w:rPr>
          <w:rFonts w:eastAsiaTheme="minorHAnsi"/>
          <w:b/>
          <w:bCs/>
          <w:lang w:eastAsia="en-US"/>
        </w:rPr>
      </w:pPr>
      <w:r w:rsidRPr="006D3E66">
        <w:rPr>
          <w:rFonts w:eastAsiaTheme="minorHAnsi"/>
          <w:b/>
          <w:bCs/>
          <w:lang w:eastAsia="en-US"/>
        </w:rPr>
        <w:t>Yürütme</w:t>
      </w:r>
    </w:p>
    <w:p w:rsidR="002D1FDE" w:rsidRPr="006D3E66" w:rsidRDefault="00F9281C" w:rsidP="007D57B6">
      <w:pPr>
        <w:autoSpaceDE w:val="0"/>
        <w:autoSpaceDN w:val="0"/>
        <w:adjustRightInd w:val="0"/>
      </w:pPr>
      <w:r w:rsidRPr="006D3E66">
        <w:rPr>
          <w:rFonts w:eastAsiaTheme="minorHAnsi"/>
          <w:b/>
          <w:bCs/>
          <w:lang w:eastAsia="en-US"/>
        </w:rPr>
        <w:t xml:space="preserve">MADDE 12 - </w:t>
      </w:r>
      <w:r w:rsidRPr="006D3E66">
        <w:rPr>
          <w:rFonts w:eastAsiaTheme="minorHAnsi"/>
          <w:lang w:eastAsia="en-US"/>
        </w:rPr>
        <w:t>(1) Bu Usul ve Esasları Enerji Piyasası Düzenleme Kurumu Başkanı yürütür.</w:t>
      </w:r>
    </w:p>
    <w:sectPr w:rsidR="002D1FDE" w:rsidRPr="006D3E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A55" w:rsidRDefault="00250A55" w:rsidP="00E50146">
      <w:pPr>
        <w:spacing w:line="240" w:lineRule="auto"/>
      </w:pPr>
      <w:r>
        <w:separator/>
      </w:r>
    </w:p>
  </w:endnote>
  <w:endnote w:type="continuationSeparator" w:id="0">
    <w:p w:rsidR="00250A55" w:rsidRDefault="00250A55" w:rsidP="00E501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ヒラギノ明朝 Pro W3">
    <w:altName w:val="MS Mincho"/>
    <w:charset w:val="80"/>
    <w:family w:val="auto"/>
    <w:pitch w:val="variable"/>
    <w:sig w:usb0="00000001" w:usb1="08070000" w:usb2="01000417" w:usb3="00000000" w:csb0="00020000" w:csb1="00000000"/>
  </w:font>
  <w:font w:name="CambriaMath">
    <w:altName w:val="Arial Unicode MS"/>
    <w:panose1 w:val="00000000000000000000"/>
    <w:charset w:val="81"/>
    <w:family w:val="auto"/>
    <w:notTrueType/>
    <w:pitch w:val="default"/>
    <w:sig w:usb0="00000000" w:usb1="09060000" w:usb2="00000010" w:usb3="00000000" w:csb0="00080001"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A55" w:rsidRDefault="00250A55" w:rsidP="00E50146">
      <w:pPr>
        <w:spacing w:line="240" w:lineRule="auto"/>
      </w:pPr>
      <w:r>
        <w:separator/>
      </w:r>
    </w:p>
  </w:footnote>
  <w:footnote w:type="continuationSeparator" w:id="0">
    <w:p w:rsidR="00250A55" w:rsidRDefault="00250A55" w:rsidP="00E50146">
      <w:pPr>
        <w:spacing w:line="240" w:lineRule="auto"/>
      </w:pPr>
      <w:r>
        <w:continuationSeparator/>
      </w:r>
    </w:p>
  </w:footnote>
  <w:footnote w:id="1">
    <w:p w:rsidR="001E626B" w:rsidRDefault="001E626B" w:rsidP="001E626B">
      <w:pPr>
        <w:pStyle w:val="DipnotMetni"/>
        <w:jc w:val="both"/>
      </w:pPr>
      <w:r>
        <w:rPr>
          <w:rStyle w:val="DipnotBavurusu"/>
        </w:rPr>
        <w:footnoteRef/>
      </w:r>
      <w:r>
        <w:t xml:space="preserve"> 13 Aralık 2018 tarihli ve 30624 sayılı Resmi Gazete’de yayımlanan Kurul Kararı ile değiştirilmiştir.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DE"/>
    <w:rsid w:val="001458BB"/>
    <w:rsid w:val="0017493D"/>
    <w:rsid w:val="001E626B"/>
    <w:rsid w:val="002302E4"/>
    <w:rsid w:val="00250A55"/>
    <w:rsid w:val="002D1FDE"/>
    <w:rsid w:val="003D53D8"/>
    <w:rsid w:val="00494A10"/>
    <w:rsid w:val="004E0D98"/>
    <w:rsid w:val="006D3E66"/>
    <w:rsid w:val="007D57B6"/>
    <w:rsid w:val="00832426"/>
    <w:rsid w:val="008711F0"/>
    <w:rsid w:val="00885C7C"/>
    <w:rsid w:val="009A0716"/>
    <w:rsid w:val="009D686F"/>
    <w:rsid w:val="00A2025A"/>
    <w:rsid w:val="00B77579"/>
    <w:rsid w:val="00B84AC9"/>
    <w:rsid w:val="00E50146"/>
    <w:rsid w:val="00E55017"/>
    <w:rsid w:val="00F22ADF"/>
    <w:rsid w:val="00F4438E"/>
    <w:rsid w:val="00F928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7069A-38DF-4109-9D81-091FED53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FDE"/>
    <w:pPr>
      <w:spacing w:after="0"/>
      <w:jc w:val="both"/>
    </w:pPr>
    <w:rPr>
      <w:rFonts w:ascii="Times New Roman" w:eastAsia="Calibri"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D1FD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YerTutucuMetni">
    <w:name w:val="Placeholder Text"/>
    <w:basedOn w:val="VarsaylanParagrafYazTipi"/>
    <w:uiPriority w:val="99"/>
    <w:semiHidden/>
    <w:rsid w:val="00885C7C"/>
    <w:rPr>
      <w:color w:val="808080"/>
    </w:rPr>
  </w:style>
  <w:style w:type="paragraph" w:styleId="BalonMetni">
    <w:name w:val="Balloon Text"/>
    <w:basedOn w:val="Normal"/>
    <w:link w:val="BalonMetniChar"/>
    <w:uiPriority w:val="99"/>
    <w:semiHidden/>
    <w:unhideWhenUsed/>
    <w:rsid w:val="00885C7C"/>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C7C"/>
    <w:rPr>
      <w:rFonts w:ascii="Tahoma" w:eastAsia="Calibri" w:hAnsi="Tahoma" w:cs="Tahoma"/>
      <w:sz w:val="16"/>
      <w:szCs w:val="16"/>
      <w:lang w:eastAsia="tr-TR"/>
    </w:rPr>
  </w:style>
  <w:style w:type="paragraph" w:styleId="stbilgi">
    <w:name w:val="header"/>
    <w:basedOn w:val="Normal"/>
    <w:link w:val="stbilgiChar"/>
    <w:uiPriority w:val="99"/>
    <w:unhideWhenUsed/>
    <w:rsid w:val="00E50146"/>
    <w:pPr>
      <w:tabs>
        <w:tab w:val="center" w:pos="4536"/>
        <w:tab w:val="right" w:pos="9072"/>
      </w:tabs>
      <w:spacing w:line="240" w:lineRule="auto"/>
    </w:pPr>
  </w:style>
  <w:style w:type="character" w:customStyle="1" w:styleId="stbilgiChar">
    <w:name w:val="Üstbilgi Char"/>
    <w:basedOn w:val="VarsaylanParagrafYazTipi"/>
    <w:link w:val="stbilgi"/>
    <w:uiPriority w:val="99"/>
    <w:rsid w:val="00E50146"/>
    <w:rPr>
      <w:rFonts w:ascii="Times New Roman" w:eastAsia="Calibri" w:hAnsi="Times New Roman" w:cs="Times New Roman"/>
      <w:sz w:val="24"/>
      <w:szCs w:val="24"/>
      <w:lang w:eastAsia="tr-TR"/>
    </w:rPr>
  </w:style>
  <w:style w:type="paragraph" w:styleId="Altbilgi">
    <w:name w:val="footer"/>
    <w:basedOn w:val="Normal"/>
    <w:link w:val="AltbilgiChar"/>
    <w:uiPriority w:val="99"/>
    <w:unhideWhenUsed/>
    <w:rsid w:val="00E50146"/>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E50146"/>
    <w:rPr>
      <w:rFonts w:ascii="Times New Roman" w:eastAsia="Calibri" w:hAnsi="Times New Roman" w:cs="Times New Roman"/>
      <w:sz w:val="24"/>
      <w:szCs w:val="24"/>
      <w:lang w:eastAsia="tr-TR"/>
    </w:rPr>
  </w:style>
  <w:style w:type="paragraph" w:styleId="DipnotMetni">
    <w:name w:val="footnote text"/>
    <w:basedOn w:val="Normal"/>
    <w:link w:val="DipnotMetniChar"/>
    <w:semiHidden/>
    <w:unhideWhenUsed/>
    <w:rsid w:val="001E626B"/>
    <w:pPr>
      <w:spacing w:line="240" w:lineRule="auto"/>
      <w:jc w:val="left"/>
    </w:pPr>
    <w:rPr>
      <w:rFonts w:eastAsia="Times New Roman"/>
      <w:sz w:val="20"/>
      <w:szCs w:val="20"/>
    </w:rPr>
  </w:style>
  <w:style w:type="character" w:customStyle="1" w:styleId="DipnotMetniChar">
    <w:name w:val="Dipnot Metni Char"/>
    <w:basedOn w:val="VarsaylanParagrafYazTipi"/>
    <w:link w:val="DipnotMetni"/>
    <w:semiHidden/>
    <w:rsid w:val="001E626B"/>
    <w:rPr>
      <w:rFonts w:ascii="Times New Roman" w:eastAsia="Times New Roman" w:hAnsi="Times New Roman" w:cs="Times New Roman"/>
      <w:sz w:val="20"/>
      <w:szCs w:val="20"/>
      <w:lang w:eastAsia="tr-TR"/>
    </w:rPr>
  </w:style>
  <w:style w:type="character" w:styleId="DipnotBavurusu">
    <w:name w:val="footnote reference"/>
    <w:semiHidden/>
    <w:unhideWhenUsed/>
    <w:rsid w:val="001E626B"/>
    <w:rPr>
      <w:vertAlign w:val="superscript"/>
    </w:rPr>
  </w:style>
  <w:style w:type="paragraph" w:styleId="DzMetin">
    <w:name w:val="Plain Text"/>
    <w:basedOn w:val="Normal"/>
    <w:link w:val="DzMetinChar"/>
    <w:uiPriority w:val="99"/>
    <w:semiHidden/>
    <w:unhideWhenUsed/>
    <w:rsid w:val="004E0D98"/>
    <w:pPr>
      <w:spacing w:line="240" w:lineRule="auto"/>
      <w:jc w:val="left"/>
    </w:pPr>
    <w:rPr>
      <w:rFonts w:ascii="Calibri" w:eastAsiaTheme="minorHAnsi" w:hAnsi="Calibri" w:cs="Consolas"/>
      <w:sz w:val="22"/>
      <w:szCs w:val="21"/>
      <w:lang w:eastAsia="en-US"/>
    </w:rPr>
  </w:style>
  <w:style w:type="character" w:customStyle="1" w:styleId="DzMetinChar">
    <w:name w:val="Düz Metin Char"/>
    <w:basedOn w:val="VarsaylanParagrafYazTipi"/>
    <w:link w:val="DzMetin"/>
    <w:uiPriority w:val="99"/>
    <w:semiHidden/>
    <w:rsid w:val="004E0D98"/>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47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D4D4E-8386-4FF6-B002-14B8607E4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EPDK</Company>
  <LinksUpToDate>false</LinksUpToDate>
  <CharactersWithSpaces>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YAVUZDEMİR</dc:creator>
  <cp:lastModifiedBy>SAİD ARSLAN</cp:lastModifiedBy>
  <cp:revision>2</cp:revision>
  <dcterms:created xsi:type="dcterms:W3CDTF">2020-01-22T08:48:00Z</dcterms:created>
  <dcterms:modified xsi:type="dcterms:W3CDTF">2020-01-22T08:48:00Z</dcterms:modified>
</cp:coreProperties>
</file>